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חוזה מכר דירה יד שנייה לדוגמה</w:t>
      </w:r>
    </w:p>
    <w:p>
      <w:pPr>
        <w:pStyle w:val="Heading1"/>
        <w:bidi/>
      </w:pPr>
      <w:r>
        <w:rPr>
          <w:rFonts w:ascii="Arial" w:cs="Arial" w:eastAsia="Arial" w:hAnsi="Arial"/>
          <w:b/>
          <w:bCs/>
          <w:sz w:val="32"/>
          <w:szCs w:val="32"/>
          <w:rtl/>
        </w:rPr>
        <w:t xml:space="preserve">לפני השימוש (אינו חלק מהחוזה)</w:t>
      </w:r>
    </w:p>
    <w:p>
      <w:pPr>
        <w:bidi/>
        <w:spacing w:after="120" w:line="300"/>
      </w:pPr>
      <w:r>
        <w:rPr>
          <w:rFonts w:ascii="Arial" w:cs="Arial" w:eastAsia="Arial" w:hAnsi="Arial"/>
          <w:sz w:val="22"/>
          <w:szCs w:val="22"/>
          <w:rtl/>
        </w:rPr>
        <w:t xml:space="preserve">מסמך זה הוא דוגמה כללית בלבד ואינו מהווה ייעוץ משפטי. כל עסקה שונה, ואין חוזה סטנדרטי שמתאים לכל דירה; אין לחתום על מסמך משפטי ללא בדיקה של עורך דין. הוכן על ידי משרד עו״ד חיים פרטוש (מ״ר 63935) לצורכי הסבר בלבד.</w:t>
      </w:r>
    </w:p>
    <w:p>
      <w:pPr>
        <w:pStyle w:val="Heading1"/>
        <w:bidi/>
      </w:pPr>
      <w:r>
        <w:rPr>
          <w:rFonts w:ascii="Arial" w:cs="Arial" w:eastAsia="Arial" w:hAnsi="Arial"/>
          <w:b/>
          <w:bCs/>
          <w:sz w:val="32"/>
          <w:szCs w:val="32"/>
          <w:rtl/>
        </w:rPr>
        <w:t xml:space="preserve">חוזה מכר דירה (יד שנייה): נוסח לדוגמה</w:t>
      </w:r>
    </w:p>
    <w:p>
      <w:pPr>
        <w:bidi/>
        <w:spacing w:after="120" w:line="300"/>
      </w:pPr>
      <w:r>
        <w:rPr>
          <w:rFonts w:ascii="Arial" w:cs="Arial" w:eastAsia="Arial" w:hAnsi="Arial"/>
          <w:sz w:val="22"/>
          <w:szCs w:val="22"/>
          <w:rtl/>
        </w:rPr>
        <w:t xml:space="preserve">חוזה זה נערך ונחתם ב</w:t>
      </w:r>
      <w:r>
        <w:rPr>
          <w:rFonts w:ascii="Arial" w:cs="Arial" w:eastAsia="Arial" w:hAnsi="Arial"/>
          <w:sz w:val="22"/>
          <w:szCs w:val="22"/>
          <w:shd w:fill="D9D9D9" w:color="auto" w:val="clear"/>
          <w:rtl/>
        </w:rPr>
        <w:t xml:space="preserve">[עיר]</w:t>
      </w:r>
      <w:r>
        <w:rPr>
          <w:rFonts w:ascii="Arial" w:cs="Arial" w:eastAsia="Arial" w:hAnsi="Arial"/>
          <w:sz w:val="22"/>
          <w:szCs w:val="22"/>
          <w:rtl/>
        </w:rPr>
        <w:t xml:space="preserve"> ביום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w:t>
      </w:r>
    </w:p>
    <w:p>
      <w:pPr>
        <w:pStyle w:val="Heading1"/>
        <w:bidi/>
      </w:pPr>
      <w:r>
        <w:rPr>
          <w:rFonts w:ascii="Arial" w:cs="Arial" w:eastAsia="Arial" w:hAnsi="Arial"/>
          <w:b/>
          <w:bCs/>
          <w:sz w:val="32"/>
          <w:szCs w:val="32"/>
          <w:rtl/>
        </w:rPr>
        <w:t xml:space="preserve">הצדדים</w:t>
      </w:r>
    </w:p>
    <w:p>
      <w:pPr>
        <w:bidi/>
        <w:spacing w:after="120" w:line="300"/>
      </w:pPr>
      <w:r>
        <w:rPr>
          <w:rFonts w:ascii="Arial" w:cs="Arial" w:eastAsia="Arial" w:hAnsi="Arial"/>
          <w:sz w:val="22"/>
          <w:szCs w:val="22"/>
          <w:rtl/>
        </w:rPr>
        <w:t xml:space="preserve">בין: </w:t>
      </w:r>
      <w:r>
        <w:rPr>
          <w:rFonts w:ascii="Arial" w:cs="Arial" w:eastAsia="Arial" w:hAnsi="Arial"/>
          <w:sz w:val="22"/>
          <w:szCs w:val="22"/>
          <w:shd w:fill="D9D9D9" w:color="auto" w:val="clear"/>
          <w:rtl/>
        </w:rPr>
        <w:t xml:space="preserve">[שם המוכר]</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מרחוב </w:t>
      </w:r>
      <w:r>
        <w:rPr>
          <w:rFonts w:ascii="Arial" w:cs="Arial" w:eastAsia="Arial" w:hAnsi="Arial"/>
          <w:sz w:val="22"/>
          <w:szCs w:val="22"/>
          <w:shd w:fill="D9D9D9" w:color="auto" w:val="clear"/>
          <w:rtl/>
        </w:rPr>
        <w:t xml:space="preserve">[כתובת]</w:t>
      </w:r>
      <w:r>
        <w:rPr>
          <w:rFonts w:ascii="Arial" w:cs="Arial" w:eastAsia="Arial" w:hAnsi="Arial"/>
          <w:sz w:val="22"/>
          <w:szCs w:val="22"/>
          <w:rtl/>
        </w:rPr>
        <w:t xml:space="preserve"> (להלן: "המוכר"; היו המוכרים יותר מאחד, חיוביהם ביחד ולחוד)</w:t>
      </w:r>
    </w:p>
    <w:p>
      <w:pPr>
        <w:bidi/>
        <w:spacing w:after="120" w:line="300"/>
      </w:pPr>
      <w:r>
        <w:rPr>
          <w:rFonts w:ascii="Arial" w:cs="Arial" w:eastAsia="Arial" w:hAnsi="Arial"/>
          <w:sz w:val="22"/>
          <w:szCs w:val="22"/>
          <w:rtl/>
        </w:rPr>
        <w:t xml:space="preserve">לבין: </w:t>
      </w:r>
      <w:r>
        <w:rPr>
          <w:rFonts w:ascii="Arial" w:cs="Arial" w:eastAsia="Arial" w:hAnsi="Arial"/>
          <w:sz w:val="22"/>
          <w:szCs w:val="22"/>
          <w:shd w:fill="D9D9D9" w:color="auto" w:val="clear"/>
          <w:rtl/>
        </w:rPr>
        <w:t xml:space="preserve">[שם הקונה]</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מרחוב </w:t>
      </w:r>
      <w:r>
        <w:rPr>
          <w:rFonts w:ascii="Arial" w:cs="Arial" w:eastAsia="Arial" w:hAnsi="Arial"/>
          <w:sz w:val="22"/>
          <w:szCs w:val="22"/>
          <w:shd w:fill="D9D9D9" w:color="auto" w:val="clear"/>
          <w:rtl/>
        </w:rPr>
        <w:t xml:space="preserve">[כתובת]</w:t>
      </w:r>
      <w:r>
        <w:rPr>
          <w:rFonts w:ascii="Arial" w:cs="Arial" w:eastAsia="Arial" w:hAnsi="Arial"/>
          <w:sz w:val="22"/>
          <w:szCs w:val="22"/>
          <w:rtl/>
        </w:rPr>
        <w:t xml:space="preserve"> (להלן: "הקונה"; היו הקונים יותר מאחד, חיוביהם ביחד ולחוד)</w:t>
      </w:r>
    </w:p>
    <w:p>
      <w:pPr>
        <w:pStyle w:val="Heading1"/>
        <w:bidi/>
      </w:pPr>
      <w:r>
        <w:rPr>
          <w:rFonts w:ascii="Arial" w:cs="Arial" w:eastAsia="Arial" w:hAnsi="Arial"/>
          <w:b/>
          <w:bCs/>
          <w:sz w:val="32"/>
          <w:szCs w:val="32"/>
          <w:rtl/>
        </w:rPr>
        <w:t xml:space="preserve">מבוא</w:t>
      </w:r>
    </w:p>
    <w:p>
      <w:pPr>
        <w:pStyle w:val="ListParagraph"/>
        <w:numPr>
          <w:ilvl w:val="0"/>
          <w:numId w:val="2"/>
        </w:numPr>
        <w:bidi/>
        <w:spacing w:after="80" w:line="300"/>
      </w:pPr>
      <w:r>
        <w:rPr>
          <w:rFonts w:ascii="Arial" w:cs="Arial" w:eastAsia="Arial" w:hAnsi="Arial"/>
          <w:sz w:val="22"/>
          <w:szCs w:val="22"/>
          <w:rtl/>
        </w:rPr>
        <w:t xml:space="preserve">הואיל והמוכר מצהיר כי הוא הבעלים הרשום (או בעל הזכות לירשם כבעלים) של הדירה המתוארת בסעיף 2 להלן, כפי שהזכויות בה רשומות בנסח רישום מיום </w:t>
      </w:r>
      <w:r>
        <w:rPr>
          <w:rFonts w:ascii="Arial" w:cs="Arial" w:eastAsia="Arial" w:hAnsi="Arial"/>
          <w:sz w:val="22"/>
          <w:szCs w:val="22"/>
          <w:shd w:fill="D9D9D9" w:color="auto" w:val="clear"/>
          <w:rtl/>
        </w:rPr>
        <w:t xml:space="preserve">[תאריך הנסח]</w:t>
      </w:r>
      <w:r>
        <w:rPr>
          <w:rFonts w:ascii="Arial" w:cs="Arial" w:eastAsia="Arial" w:hAnsi="Arial"/>
          <w:sz w:val="22"/>
          <w:szCs w:val="22"/>
          <w:rtl/>
        </w:rPr>
        <w:t xml:space="preserve"> המצורף כנספח א;</w:t>
      </w:r>
    </w:p>
    <w:p>
      <w:pPr>
        <w:pStyle w:val="ListParagraph"/>
        <w:numPr>
          <w:ilvl w:val="0"/>
          <w:numId w:val="2"/>
        </w:numPr>
        <w:bidi/>
        <w:spacing w:after="80" w:line="300"/>
      </w:pPr>
      <w:r>
        <w:rPr>
          <w:rFonts w:ascii="Arial" w:cs="Arial" w:eastAsia="Arial" w:hAnsi="Arial"/>
          <w:sz w:val="22"/>
          <w:szCs w:val="22"/>
          <w:rtl/>
        </w:rPr>
        <w:t xml:space="preserve">והואיל והקונה מעוניין לרכוש את הזכויות בדירה, והמוכר מעוניין למכור אותן, בתנאים המפורטים בחוזה זה;</w:t>
      </w:r>
    </w:p>
    <w:p>
      <w:pPr>
        <w:pStyle w:val="ListParagraph"/>
        <w:numPr>
          <w:ilvl w:val="0"/>
          <w:numId w:val="2"/>
        </w:numPr>
        <w:bidi/>
        <w:spacing w:after="80" w:line="300"/>
      </w:pPr>
      <w:r>
        <w:rPr>
          <w:rFonts w:ascii="Arial" w:cs="Arial" w:eastAsia="Arial" w:hAnsi="Arial"/>
          <w:sz w:val="22"/>
          <w:szCs w:val="22"/>
          <w:rtl/>
        </w:rPr>
        <w:t xml:space="preserve">והואיל וכל צד מיוצג בעסקה על ידי עורך דין מטעמו, ונציגו של כל צד מייצג אותו בלבד;</w:t>
      </w:r>
    </w:p>
    <w:p>
      <w:pPr>
        <w:pStyle w:val="ListParagraph"/>
        <w:numPr>
          <w:ilvl w:val="0"/>
          <w:numId w:val="2"/>
        </w:numPr>
        <w:bidi/>
        <w:spacing w:after="80" w:line="300"/>
      </w:pPr>
      <w:r>
        <w:rPr>
          <w:rFonts w:ascii="Arial" w:cs="Arial" w:eastAsia="Arial" w:hAnsi="Arial"/>
          <w:sz w:val="22"/>
          <w:szCs w:val="22"/>
          <w:rtl/>
        </w:rPr>
        <w:t xml:space="preserve">לפיכך הוסכם, הותנה והוצהר בין הצדדים כדלקמן:</w:t>
      </w:r>
    </w:p>
    <w:p>
      <w:pPr>
        <w:pStyle w:val="Heading1"/>
        <w:bidi/>
      </w:pPr>
      <w:r>
        <w:rPr>
          <w:rFonts w:ascii="Arial" w:cs="Arial" w:eastAsia="Arial" w:hAnsi="Arial"/>
          <w:b/>
          <w:bCs/>
          <w:sz w:val="32"/>
          <w:szCs w:val="32"/>
          <w:rtl/>
        </w:rPr>
        <w:t xml:space="preserve">1. נספחים ופרשנות</w:t>
      </w:r>
    </w:p>
    <w:p>
      <w:pPr>
        <w:pStyle w:val="ListParagraph"/>
        <w:numPr>
          <w:ilvl w:val="0"/>
          <w:numId w:val="3"/>
        </w:numPr>
        <w:bidi/>
        <w:spacing w:after="80" w:line="300"/>
      </w:pPr>
      <w:r>
        <w:rPr>
          <w:rFonts w:ascii="Arial" w:cs="Arial" w:eastAsia="Arial" w:hAnsi="Arial"/>
          <w:sz w:val="22"/>
          <w:szCs w:val="22"/>
          <w:rtl/>
        </w:rPr>
        <w:t xml:space="preserve">1.1 המבוא והנספחים מהווים חלק בלתי נפרד מהחוזה.</w:t>
      </w:r>
    </w:p>
    <w:p>
      <w:pPr>
        <w:pStyle w:val="ListParagraph"/>
        <w:numPr>
          <w:ilvl w:val="0"/>
          <w:numId w:val="3"/>
        </w:numPr>
        <w:bidi/>
        <w:spacing w:after="80" w:line="300"/>
      </w:pPr>
      <w:r>
        <w:rPr>
          <w:rFonts w:ascii="Arial" w:cs="Arial" w:eastAsia="Arial" w:hAnsi="Arial"/>
          <w:sz w:val="22"/>
          <w:szCs w:val="22"/>
          <w:rtl/>
        </w:rPr>
        <w:t xml:space="preserve">1.2 כותרות הסעיפים נועדו לנוחות בלבד ולא ישמשו לפרשנות.</w:t>
      </w:r>
    </w:p>
    <w:p>
      <w:pPr>
        <w:pStyle w:val="ListParagraph"/>
        <w:numPr>
          <w:ilvl w:val="0"/>
          <w:numId w:val="3"/>
        </w:numPr>
        <w:bidi/>
        <w:spacing w:after="80" w:line="300"/>
      </w:pPr>
      <w:r>
        <w:rPr>
          <w:rFonts w:ascii="Arial" w:cs="Arial" w:eastAsia="Arial" w:hAnsi="Arial"/>
          <w:sz w:val="22"/>
          <w:szCs w:val="22"/>
          <w:rtl/>
        </w:rPr>
        <w:t xml:space="preserve">1.3 חוזה זה ממצה את ההסכמות בין הצדדים ומבטל כל מצג, זיכרון דברים, טיוטה או הבטחה שקדמו לו, בכתב או בעל פה.</w:t>
      </w:r>
    </w:p>
    <w:p>
      <w:pPr>
        <w:pStyle w:val="Heading1"/>
        <w:bidi/>
      </w:pPr>
      <w:r>
        <w:rPr>
          <w:rFonts w:ascii="Arial" w:cs="Arial" w:eastAsia="Arial" w:hAnsi="Arial"/>
          <w:b/>
          <w:bCs/>
          <w:sz w:val="32"/>
          <w:szCs w:val="32"/>
          <w:rtl/>
        </w:rPr>
        <w:t xml:space="preserve">2. הנכס הנמכר (לפי נסח הרישום)</w:t>
      </w:r>
    </w:p>
    <w:p>
      <w:pPr>
        <w:pStyle w:val="ListParagraph"/>
        <w:numPr>
          <w:ilvl w:val="0"/>
          <w:numId w:val="4"/>
        </w:numPr>
        <w:bidi/>
        <w:spacing w:after="80" w:line="300"/>
      </w:pPr>
      <w:r>
        <w:rPr>
          <w:rFonts w:ascii="Arial" w:cs="Arial" w:eastAsia="Arial" w:hAnsi="Arial"/>
          <w:sz w:val="22"/>
          <w:szCs w:val="22"/>
          <w:rtl/>
        </w:rPr>
        <w:t xml:space="preserve">2.1 דירה בת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חדרים, בקומה </w:t>
      </w:r>
      <w:r>
        <w:rPr>
          <w:rFonts w:ascii="Arial" w:cs="Arial" w:eastAsia="Arial" w:hAnsi="Arial"/>
          <w:sz w:val="22"/>
          <w:szCs w:val="22"/>
          <w:shd w:fill="D9D9D9" w:color="auto" w:val="clear"/>
          <w:rtl/>
        </w:rPr>
        <w:t xml:space="preserve">[קומה]</w:t>
      </w:r>
      <w:r>
        <w:rPr>
          <w:rFonts w:ascii="Arial" w:cs="Arial" w:eastAsia="Arial" w:hAnsi="Arial"/>
          <w:sz w:val="22"/>
          <w:szCs w:val="22"/>
          <w:rtl/>
        </w:rPr>
        <w:t xml:space="preserve">, ברחוב </w:t>
      </w:r>
      <w:r>
        <w:rPr>
          <w:rFonts w:ascii="Arial" w:cs="Arial" w:eastAsia="Arial" w:hAnsi="Arial"/>
          <w:sz w:val="22"/>
          <w:szCs w:val="22"/>
          <w:shd w:fill="D9D9D9" w:color="auto" w:val="clear"/>
          <w:rtl/>
        </w:rPr>
        <w:t xml:space="preserve">[רחוב ומספר]</w:t>
      </w:r>
      <w:r>
        <w:rPr>
          <w:rFonts w:ascii="Arial" w:cs="Arial" w:eastAsia="Arial" w:hAnsi="Arial"/>
          <w:sz w:val="22"/>
          <w:szCs w:val="22"/>
          <w:rtl/>
        </w:rPr>
        <w:t xml:space="preserve">, </w:t>
      </w:r>
      <w:r>
        <w:rPr>
          <w:rFonts w:ascii="Arial" w:cs="Arial" w:eastAsia="Arial" w:hAnsi="Arial"/>
          <w:sz w:val="22"/>
          <w:szCs w:val="22"/>
          <w:shd w:fill="D9D9D9" w:color="auto" w:val="clear"/>
          <w:rtl/>
        </w:rPr>
        <w:t xml:space="preserve">[עיר]</w:t>
      </w:r>
      <w:r>
        <w:rPr>
          <w:rFonts w:ascii="Arial" w:cs="Arial" w:eastAsia="Arial" w:hAnsi="Arial"/>
          <w:sz w:val="22"/>
          <w:szCs w:val="22"/>
          <w:rtl/>
        </w:rPr>
        <w:t xml:space="preserve">, הידועה כגוש </w:t>
      </w:r>
      <w:r>
        <w:rPr>
          <w:rFonts w:ascii="Arial" w:cs="Arial" w:eastAsia="Arial" w:hAnsi="Arial"/>
          <w:sz w:val="22"/>
          <w:szCs w:val="22"/>
          <w:shd w:fill="D9D9D9" w:color="auto" w:val="clear"/>
          <w:rtl/>
        </w:rPr>
        <w:t xml:space="preserve">[גוש]</w:t>
      </w:r>
      <w:r>
        <w:rPr>
          <w:rFonts w:ascii="Arial" w:cs="Arial" w:eastAsia="Arial" w:hAnsi="Arial"/>
          <w:sz w:val="22"/>
          <w:szCs w:val="22"/>
          <w:rtl/>
        </w:rPr>
        <w:t xml:space="preserve"> חלקה </w:t>
      </w:r>
      <w:r>
        <w:rPr>
          <w:rFonts w:ascii="Arial" w:cs="Arial" w:eastAsia="Arial" w:hAnsi="Arial"/>
          <w:sz w:val="22"/>
          <w:szCs w:val="22"/>
          <w:shd w:fill="D9D9D9" w:color="auto" w:val="clear"/>
          <w:rtl/>
        </w:rPr>
        <w:t xml:space="preserve">[חלקה]</w:t>
      </w:r>
      <w:r>
        <w:rPr>
          <w:rFonts w:ascii="Arial" w:cs="Arial" w:eastAsia="Arial" w:hAnsi="Arial"/>
          <w:sz w:val="22"/>
          <w:szCs w:val="22"/>
          <w:rtl/>
        </w:rPr>
        <w:t xml:space="preserve"> תת חלקה </w:t>
      </w:r>
      <w:r>
        <w:rPr>
          <w:rFonts w:ascii="Arial" w:cs="Arial" w:eastAsia="Arial" w:hAnsi="Arial"/>
          <w:sz w:val="22"/>
          <w:szCs w:val="22"/>
          <w:shd w:fill="D9D9D9" w:color="auto" w:val="clear"/>
          <w:rtl/>
        </w:rPr>
        <w:t xml:space="preserve">[תת חלקה]</w:t>
      </w:r>
      <w:r>
        <w:rPr>
          <w:rFonts w:ascii="Arial" w:cs="Arial" w:eastAsia="Arial" w:hAnsi="Arial"/>
          <w:sz w:val="22"/>
          <w:szCs w:val="22"/>
          <w:rtl/>
        </w:rPr>
        <w:t xml:space="preserve"> (להלן: "הדירה").</w:t>
      </w:r>
    </w:p>
    <w:p>
      <w:pPr>
        <w:pStyle w:val="ListParagraph"/>
        <w:numPr>
          <w:ilvl w:val="0"/>
          <w:numId w:val="4"/>
        </w:numPr>
        <w:bidi/>
        <w:spacing w:after="80" w:line="300"/>
      </w:pPr>
      <w:r>
        <w:rPr>
          <w:rFonts w:ascii="Arial" w:cs="Arial" w:eastAsia="Arial" w:hAnsi="Arial"/>
          <w:sz w:val="22"/>
          <w:szCs w:val="22"/>
          <w:rtl/>
        </w:rPr>
        <w:t xml:space="preserve">2.2 הצמדות: </w:t>
      </w:r>
      <w:r>
        <w:rPr>
          <w:rFonts w:ascii="Arial" w:cs="Arial" w:eastAsia="Arial" w:hAnsi="Arial"/>
          <w:sz w:val="22"/>
          <w:szCs w:val="22"/>
          <w:shd w:fill="D9D9D9" w:color="auto" w:val="clear"/>
          <w:rtl/>
        </w:rPr>
        <w:t xml:space="preserve">[חניה מס׳ __ / מחסן מס׳ __ / גג / חצר]</w:t>
      </w:r>
      <w:r>
        <w:rPr>
          <w:rFonts w:ascii="Arial" w:cs="Arial" w:eastAsia="Arial" w:hAnsi="Arial"/>
          <w:sz w:val="22"/>
          <w:szCs w:val="22"/>
          <w:rtl/>
        </w:rPr>
        <w:t xml:space="preserve">, כמסומן בתשריט הבית המשותף. הצמדה שאינה רשומה תפורט כאן במפורש, לרבות מקור הזכות בה: </w:t>
      </w:r>
      <w:r>
        <w:rPr>
          <w:rFonts w:ascii="Arial" w:cs="Arial" w:eastAsia="Arial" w:hAnsi="Arial"/>
          <w:sz w:val="22"/>
          <w:szCs w:val="22"/>
          <w:shd w:fill="D9D9D9" w:color="auto" w:val="clear"/>
          <w:rtl/>
        </w:rPr>
        <w:t xml:space="preserve">[פירוט]</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2.3 שטח הדירה לפי הנסח/התשריט: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 הצדדים מצהירים כי השטח נמסר לידיעה בלבד, אלא אם הוסכם אחרת: </w:t>
      </w:r>
      <w:r>
        <w:rPr>
          <w:rFonts w:ascii="Arial" w:cs="Arial" w:eastAsia="Arial" w:hAnsi="Arial"/>
          <w:sz w:val="22"/>
          <w:szCs w:val="22"/>
          <w:shd w:fill="D9D9D9" w:color="auto" w:val="clear"/>
          <w:rtl/>
        </w:rPr>
        <w:t xml:space="preserve">[פירוט]</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2.4 הזכויות רשומות ב: </w:t>
      </w:r>
      <w:r>
        <w:rPr>
          <w:rFonts w:ascii="Arial" w:cs="Arial" w:eastAsia="Arial" w:hAnsi="Arial"/>
          <w:sz w:val="22"/>
          <w:szCs w:val="22"/>
          <w:shd w:fill="D9D9D9" w:color="auto" w:val="clear"/>
          <w:rtl/>
        </w:rPr>
        <w:t xml:space="preserve">[לשכת רישום המקרקעין / חברה משכנת / רשות מקרקעי ישראל]</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2.5 המטלטלין הנמכרים יחד עם הדירה: </w:t>
      </w:r>
      <w:r>
        <w:rPr>
          <w:rFonts w:ascii="Arial" w:cs="Arial" w:eastAsia="Arial" w:hAnsi="Arial"/>
          <w:sz w:val="22"/>
          <w:szCs w:val="22"/>
          <w:shd w:fill="D9D9D9" w:color="auto" w:val="clear"/>
          <w:rtl/>
        </w:rPr>
        <w:t xml:space="preserve">[רשימה]</w:t>
      </w:r>
      <w:r>
        <w:rPr>
          <w:rFonts w:ascii="Arial" w:cs="Arial" w:eastAsia="Arial" w:hAnsi="Arial"/>
          <w:sz w:val="22"/>
          <w:szCs w:val="22"/>
          <w:rtl/>
        </w:rPr>
        <w:t xml:space="preserve">, כמפורט בנספח ג. מטלטלין שאינם ברשימה אינם חלק מהמכר.</w:t>
      </w:r>
    </w:p>
    <w:p>
      <w:pPr>
        <w:pStyle w:val="Heading1"/>
        <w:bidi/>
      </w:pPr>
      <w:r>
        <w:rPr>
          <w:rFonts w:ascii="Arial" w:cs="Arial" w:eastAsia="Arial" w:hAnsi="Arial"/>
          <w:b/>
          <w:bCs/>
          <w:sz w:val="32"/>
          <w:szCs w:val="32"/>
          <w:rtl/>
        </w:rPr>
        <w:t xml:space="preserve">3. הצהרות המוכר</w:t>
      </w:r>
    </w:p>
    <w:p>
      <w:pPr>
        <w:bidi/>
        <w:spacing w:after="120" w:line="300"/>
      </w:pPr>
      <w:r>
        <w:rPr>
          <w:rFonts w:ascii="Arial" w:cs="Arial" w:eastAsia="Arial" w:hAnsi="Arial"/>
          <w:sz w:val="22"/>
          <w:szCs w:val="22"/>
          <w:rtl/>
        </w:rPr>
        <w:t xml:space="preserve">המוכר מצהיר ומתחייב כי:</w:t>
      </w:r>
    </w:p>
    <w:p>
      <w:pPr>
        <w:pStyle w:val="ListParagraph"/>
        <w:numPr>
          <w:ilvl w:val="0"/>
          <w:numId w:val="5"/>
        </w:numPr>
        <w:bidi/>
        <w:spacing w:after="80" w:line="300"/>
      </w:pPr>
      <w:r>
        <w:rPr>
          <w:rFonts w:ascii="Arial" w:cs="Arial" w:eastAsia="Arial" w:hAnsi="Arial"/>
          <w:sz w:val="22"/>
          <w:szCs w:val="22"/>
          <w:rtl/>
        </w:rPr>
        <w:t xml:space="preserve">3.1 הזכויות בדירה רשומות על שמו כמפורט בנסח, ואין עליהן כל חוב, שעבוד, עיקול, משכנתא, הערת אזהרה, זכות של צד שלישי או מניעה אחרת, למעט: </w:t>
      </w:r>
      <w:r>
        <w:rPr>
          <w:rFonts w:ascii="Arial" w:cs="Arial" w:eastAsia="Arial" w:hAnsi="Arial"/>
          <w:sz w:val="22"/>
          <w:szCs w:val="22"/>
          <w:shd w:fill="D9D9D9" w:color="auto" w:val="clear"/>
          <w:rtl/>
        </w:rPr>
        <w:t xml:space="preserve">[משכנתא לטובת בנק __, לפירוט בסעיף 7]</w:t>
      </w:r>
      <w:r>
        <w:rPr>
          <w:rFonts w:ascii="Arial" w:cs="Arial" w:eastAsia="Arial" w:hAnsi="Arial"/>
          <w:sz w:val="22"/>
          <w:szCs w:val="22"/>
          <w:rtl/>
        </w:rPr>
        <w:t xml:space="preserve">.</w:t>
      </w:r>
    </w:p>
    <w:p>
      <w:pPr>
        <w:pStyle w:val="ListParagraph"/>
        <w:numPr>
          <w:ilvl w:val="0"/>
          <w:numId w:val="5"/>
        </w:numPr>
        <w:bidi/>
        <w:spacing w:after="80" w:line="300"/>
      </w:pPr>
      <w:r>
        <w:rPr>
          <w:rFonts w:ascii="Arial" w:cs="Arial" w:eastAsia="Arial" w:hAnsi="Arial"/>
          <w:sz w:val="22"/>
          <w:szCs w:val="22"/>
          <w:rtl/>
        </w:rPr>
        <w:t xml:space="preserve">3.2 אין כל מניעה חוקית, חוזית או אחרת להתקשרותו בחוזה זה, ולא נחתם על ידו כל הסכם אחר לגבי הדירה, לרבות זיכרון דברים, חוזה שכירות או הסכם עם יזם.</w:t>
      </w:r>
    </w:p>
    <w:p>
      <w:pPr>
        <w:pStyle w:val="ListParagraph"/>
        <w:numPr>
          <w:ilvl w:val="0"/>
          <w:numId w:val="5"/>
        </w:numPr>
        <w:bidi/>
        <w:spacing w:after="80" w:line="300"/>
      </w:pPr>
      <w:r>
        <w:rPr>
          <w:rFonts w:ascii="Arial" w:cs="Arial" w:eastAsia="Arial" w:hAnsi="Arial"/>
          <w:sz w:val="22"/>
          <w:szCs w:val="22"/>
          <w:rtl/>
        </w:rPr>
        <w:t xml:space="preserve">3.3 לא נחתם על ידו הסכם התחדשות עירונית (תמ״א 38 או פינוי בינוי) או ייפוי כוח ליזם לגבי הבניין, למעט: </w:t>
      </w:r>
      <w:r>
        <w:rPr>
          <w:rFonts w:ascii="Arial" w:cs="Arial" w:eastAsia="Arial" w:hAnsi="Arial"/>
          <w:sz w:val="22"/>
          <w:szCs w:val="22"/>
          <w:shd w:fill="D9D9D9" w:color="auto" w:val="clear"/>
          <w:rtl/>
        </w:rPr>
        <w:t xml:space="preserve">[פירוט / אין]</w:t>
      </w:r>
      <w:r>
        <w:rPr>
          <w:rFonts w:ascii="Arial" w:cs="Arial" w:eastAsia="Arial" w:hAnsi="Arial"/>
          <w:sz w:val="22"/>
          <w:szCs w:val="22"/>
          <w:rtl/>
        </w:rPr>
        <w:t xml:space="preserve">.</w:t>
      </w:r>
    </w:p>
    <w:p>
      <w:pPr>
        <w:pStyle w:val="ListParagraph"/>
        <w:numPr>
          <w:ilvl w:val="0"/>
          <w:numId w:val="5"/>
        </w:numPr>
        <w:bidi/>
        <w:spacing w:after="80" w:line="300"/>
      </w:pPr>
      <w:r>
        <w:rPr>
          <w:rFonts w:ascii="Arial" w:cs="Arial" w:eastAsia="Arial" w:hAnsi="Arial"/>
          <w:sz w:val="22"/>
          <w:szCs w:val="22"/>
          <w:rtl/>
        </w:rPr>
        <w:t xml:space="preserve">3.4 למיטב ידיעתו, לאחר בירור סביר (לרבות עיון בתיק הבניין ברשות המקומית), אין בדירה או בבניין חריגות בנייה, ואין צו הריסה, הליך משפטי, תביעה או דרישת תשלום של רשות כלשהי בקשר לדירה או לבניין, למעט: </w:t>
      </w:r>
      <w:r>
        <w:rPr>
          <w:rFonts w:ascii="Arial" w:cs="Arial" w:eastAsia="Arial" w:hAnsi="Arial"/>
          <w:sz w:val="22"/>
          <w:szCs w:val="22"/>
          <w:shd w:fill="D9D9D9" w:color="auto" w:val="clear"/>
          <w:rtl/>
        </w:rPr>
        <w:t xml:space="preserve">[פירוט / אין]</w:t>
      </w:r>
      <w:r>
        <w:rPr>
          <w:rFonts w:ascii="Arial" w:cs="Arial" w:eastAsia="Arial" w:hAnsi="Arial"/>
          <w:sz w:val="22"/>
          <w:szCs w:val="22"/>
          <w:rtl/>
        </w:rPr>
        <w:t xml:space="preserve">.</w:t>
      </w:r>
    </w:p>
    <w:p>
      <w:pPr>
        <w:pStyle w:val="ListParagraph"/>
        <w:numPr>
          <w:ilvl w:val="0"/>
          <w:numId w:val="5"/>
        </w:numPr>
        <w:bidi/>
        <w:spacing w:after="80" w:line="300"/>
      </w:pPr>
      <w:r>
        <w:rPr>
          <w:rFonts w:ascii="Arial" w:cs="Arial" w:eastAsia="Arial" w:hAnsi="Arial"/>
          <w:sz w:val="22"/>
          <w:szCs w:val="22"/>
          <w:rtl/>
        </w:rPr>
        <w:t xml:space="preserve">3.5 למיטב ידיעתו, לאחר בירור סביר, אין בדירה ליקוי, רטיבות, נזילה או פגם נסתר, למעט: </w:t>
      </w:r>
      <w:r>
        <w:rPr>
          <w:rFonts w:ascii="Arial" w:cs="Arial" w:eastAsia="Arial" w:hAnsi="Arial"/>
          <w:sz w:val="22"/>
          <w:szCs w:val="22"/>
          <w:shd w:fill="D9D9D9" w:color="auto" w:val="clear"/>
          <w:rtl/>
        </w:rPr>
        <w:t xml:space="preserve">[פירוט / אין]</w:t>
      </w:r>
      <w:r>
        <w:rPr>
          <w:rFonts w:ascii="Arial" w:cs="Arial" w:eastAsia="Arial" w:hAnsi="Arial"/>
          <w:sz w:val="22"/>
          <w:szCs w:val="22"/>
          <w:rtl/>
        </w:rPr>
        <w:t xml:space="preserve">. אין בהצהרה זו כדי לגרוע מחובות המוכר לפי חוק המכר, התשכ״ח-1968, לרבות לעניין אי-התאמה שהמוכר ידע או היה עליו לדעת עליה ולא גילה לקונה (סעיף 16 לחוק).</w:t>
      </w:r>
    </w:p>
    <w:p>
      <w:pPr>
        <w:pStyle w:val="ListParagraph"/>
        <w:numPr>
          <w:ilvl w:val="0"/>
          <w:numId w:val="5"/>
        </w:numPr>
        <w:bidi/>
        <w:spacing w:after="80" w:line="300"/>
      </w:pPr>
      <w:r>
        <w:rPr>
          <w:rFonts w:ascii="Arial" w:cs="Arial" w:eastAsia="Arial" w:hAnsi="Arial"/>
          <w:sz w:val="22"/>
          <w:szCs w:val="22"/>
          <w:rtl/>
        </w:rPr>
        <w:t xml:space="preserve">3.6 עד מועד המסירה ישלם את כל המסים, התשלומים לרשות המקומית, דמי ועד הבית והחשבונות החלים על הדירה, כמפורט בסעיף 10.</w:t>
      </w:r>
    </w:p>
    <w:p>
      <w:pPr>
        <w:pStyle w:val="ListParagraph"/>
        <w:numPr>
          <w:ilvl w:val="0"/>
          <w:numId w:val="5"/>
        </w:numPr>
        <w:bidi/>
        <w:spacing w:after="80" w:line="300"/>
      </w:pPr>
      <w:r>
        <w:rPr>
          <w:rFonts w:ascii="Arial" w:cs="Arial" w:eastAsia="Arial" w:hAnsi="Arial"/>
          <w:sz w:val="22"/>
          <w:szCs w:val="22"/>
          <w:rtl/>
        </w:rPr>
        <w:t xml:space="preserve">3.7 הוא </w:t>
      </w:r>
      <w:r>
        <w:rPr>
          <w:rFonts w:ascii="Arial" w:cs="Arial" w:eastAsia="Arial" w:hAnsi="Arial"/>
          <w:sz w:val="22"/>
          <w:szCs w:val="22"/>
          <w:shd w:fill="D9D9D9" w:color="auto" w:val="clear"/>
          <w:rtl/>
        </w:rPr>
        <w:t xml:space="preserve">[אינו]</w:t>
      </w:r>
      <w:r>
        <w:rPr>
          <w:rFonts w:ascii="Arial" w:cs="Arial" w:eastAsia="Arial" w:hAnsi="Arial"/>
          <w:sz w:val="22"/>
          <w:szCs w:val="22"/>
          <w:rtl/>
        </w:rPr>
        <w:t xml:space="preserve"> תושב חוץ ו</w:t>
      </w:r>
      <w:r>
        <w:rPr>
          <w:rFonts w:ascii="Arial" w:cs="Arial" w:eastAsia="Arial" w:hAnsi="Arial"/>
          <w:sz w:val="22"/>
          <w:szCs w:val="22"/>
          <w:shd w:fill="D9D9D9" w:color="auto" w:val="clear"/>
          <w:rtl/>
        </w:rPr>
        <w:t xml:space="preserve">[אינו]</w:t>
      </w:r>
      <w:r>
        <w:rPr>
          <w:rFonts w:ascii="Arial" w:cs="Arial" w:eastAsia="Arial" w:hAnsi="Arial"/>
          <w:sz w:val="22"/>
          <w:szCs w:val="22"/>
          <w:rtl/>
        </w:rPr>
        <w:t xml:space="preserve"> מוכר במסגרת עסק, לצורך דיני המס.</w:t>
      </w:r>
    </w:p>
    <w:p>
      <w:pPr>
        <w:pStyle w:val="ListParagraph"/>
        <w:numPr>
          <w:ilvl w:val="0"/>
          <w:numId w:val="5"/>
        </w:numPr>
        <w:bidi/>
        <w:spacing w:after="80" w:line="300"/>
      </w:pPr>
      <w:r>
        <w:rPr>
          <w:rFonts w:ascii="Arial" w:cs="Arial" w:eastAsia="Arial" w:hAnsi="Arial"/>
          <w:sz w:val="22"/>
          <w:szCs w:val="22"/>
          <w:rtl/>
        </w:rPr>
        <w:t xml:space="preserve">3.8 אם הזכויות בדירה רשומות על שם יותר מבעלים אחד, או שלבן או בת זוג של המוכר עשויה להיות זכות בדירה, כל הבעלים ובני הזוג כאמור חותמים על חוזה זה כמוכרים או מצרפים את הסכמתם בכתב: </w:t>
      </w:r>
      <w:r>
        <w:rPr>
          <w:rFonts w:ascii="Arial" w:cs="Arial" w:eastAsia="Arial" w:hAnsi="Arial"/>
          <w:sz w:val="22"/>
          <w:szCs w:val="22"/>
          <w:shd w:fill="D9D9D9" w:color="auto" w:val="clear"/>
          <w:rtl/>
        </w:rPr>
        <w:t xml:space="preserve">[שמות / אין]</w:t>
      </w:r>
      <w:r>
        <w:rPr>
          <w:rFonts w:ascii="Arial" w:cs="Arial" w:eastAsia="Arial" w:hAnsi="Arial"/>
          <w:sz w:val="22"/>
          <w:szCs w:val="22"/>
          <w:rtl/>
        </w:rPr>
        <w:t xml:space="preserve">.</w:t>
      </w:r>
    </w:p>
    <w:p>
      <w:pPr>
        <w:pStyle w:val="ListParagraph"/>
        <w:numPr>
          <w:ilvl w:val="0"/>
          <w:numId w:val="5"/>
        </w:numPr>
        <w:bidi/>
        <w:spacing w:after="80" w:line="300"/>
      </w:pPr>
      <w:r>
        <w:rPr>
          <w:rFonts w:ascii="Arial" w:cs="Arial" w:eastAsia="Arial" w:hAnsi="Arial"/>
          <w:sz w:val="22"/>
          <w:szCs w:val="22"/>
          <w:rtl/>
        </w:rPr>
        <w:t xml:space="preserve">3.9 הדירה אינה מושכרת, ואין בה מחזיק מלבד המוכר ובני ביתו, למעט: </w:t>
      </w:r>
      <w:r>
        <w:rPr>
          <w:rFonts w:ascii="Arial" w:cs="Arial" w:eastAsia="Arial" w:hAnsi="Arial"/>
          <w:sz w:val="22"/>
          <w:szCs w:val="22"/>
          <w:shd w:fill="D9D9D9" w:color="auto" w:val="clear"/>
          <w:rtl/>
        </w:rPr>
        <w:t xml:space="preserve">[שוכר לפי הסכם שכירות מיום __ שיסתיים עד __ / אין]</w:t>
      </w:r>
      <w:r>
        <w:rPr>
          <w:rFonts w:ascii="Arial" w:cs="Arial" w:eastAsia="Arial" w:hAnsi="Arial"/>
          <w:sz w:val="22"/>
          <w:szCs w:val="22"/>
          <w:rtl/>
        </w:rPr>
        <w:t xml:space="preserve">. המוכר אחראי לפינוי כל מחזיק עד מועד המסירה.</w:t>
      </w:r>
    </w:p>
    <w:p>
      <w:pPr>
        <w:pStyle w:val="ListParagraph"/>
        <w:numPr>
          <w:ilvl w:val="0"/>
          <w:numId w:val="5"/>
        </w:numPr>
        <w:bidi/>
        <w:spacing w:after="80" w:line="300"/>
      </w:pPr>
      <w:r>
        <w:rPr>
          <w:rFonts w:ascii="Arial" w:cs="Arial" w:eastAsia="Arial" w:hAnsi="Arial"/>
          <w:sz w:val="22"/>
          <w:szCs w:val="22"/>
          <w:rtl/>
        </w:rPr>
        <w:t xml:space="preserve">3.10 המוכר ישפה את הקונה, מיד עם דרישה, על כל חוב, תשלום או דרישה החלים על הדירה ושמקורם בתקופה שעד מועד המסירה, ובלבד שהקונה הודיע לו על הדרישה ואפשר לו להתגונן מפניה.</w:t>
      </w:r>
    </w:p>
    <w:p>
      <w:pPr>
        <w:pStyle w:val="ListParagraph"/>
        <w:numPr>
          <w:ilvl w:val="0"/>
          <w:numId w:val="5"/>
        </w:numPr>
        <w:bidi/>
        <w:spacing w:after="80" w:line="300"/>
      </w:pPr>
      <w:r>
        <w:rPr>
          <w:rFonts w:ascii="Arial" w:cs="Arial" w:eastAsia="Arial" w:hAnsi="Arial"/>
          <w:sz w:val="22"/>
          <w:szCs w:val="22"/>
          <w:rtl/>
        </w:rPr>
        <w:t xml:space="preserve">3.11 הצהרות המוכר בסעיף זה הן יסודיות, והקונה הסתמך עליהן בהתקשרותו.</w:t>
      </w:r>
    </w:p>
    <w:p>
      <w:pPr>
        <w:pStyle w:val="Heading1"/>
        <w:bidi/>
      </w:pPr>
      <w:r>
        <w:rPr>
          <w:rFonts w:ascii="Arial" w:cs="Arial" w:eastAsia="Arial" w:hAnsi="Arial"/>
          <w:b/>
          <w:bCs/>
          <w:sz w:val="32"/>
          <w:szCs w:val="32"/>
          <w:rtl/>
        </w:rPr>
        <w:t xml:space="preserve">4. הצהרות הקונה</w:t>
      </w:r>
    </w:p>
    <w:p>
      <w:pPr>
        <w:pStyle w:val="ListParagraph"/>
        <w:numPr>
          <w:ilvl w:val="0"/>
          <w:numId w:val="6"/>
        </w:numPr>
        <w:bidi/>
        <w:spacing w:after="80" w:line="300"/>
      </w:pPr>
      <w:r>
        <w:rPr>
          <w:rFonts w:ascii="Arial" w:cs="Arial" w:eastAsia="Arial" w:hAnsi="Arial"/>
          <w:sz w:val="22"/>
          <w:szCs w:val="22"/>
          <w:rtl/>
        </w:rPr>
        <w:t xml:space="preserve">4.1 הקונה ראה ובדק את הדירה ומצא אותה מתאימה למטרותיו, בכפוף לגילוי בסעיף 3 ולחובות המוכר לפי דין. הקונה ראה את נסח הרישום ואת המסמכים המפורטים בנספחים, ובדק או קיבל הזדמנות לבדוק את מצבה התכנוני והרישומי של הדירה באמצעות אנשי מקצוע מטעמו.</w:t>
      </w:r>
    </w:p>
    <w:p>
      <w:pPr>
        <w:pStyle w:val="ListParagraph"/>
        <w:numPr>
          <w:ilvl w:val="0"/>
          <w:numId w:val="6"/>
        </w:numPr>
        <w:bidi/>
        <w:spacing w:after="80" w:line="300"/>
      </w:pPr>
      <w:r>
        <w:rPr>
          <w:rFonts w:ascii="Arial" w:cs="Arial" w:eastAsia="Arial" w:hAnsi="Arial"/>
          <w:sz w:val="22"/>
          <w:szCs w:val="22"/>
          <w:rtl/>
        </w:rPr>
        <w:t xml:space="preserve">4.2 הקונה מצהיר כי </w:t>
      </w:r>
      <w:r>
        <w:rPr>
          <w:rFonts w:ascii="Arial" w:cs="Arial" w:eastAsia="Arial" w:hAnsi="Arial"/>
          <w:sz w:val="22"/>
          <w:szCs w:val="22"/>
          <w:shd w:fill="D9D9D9" w:color="auto" w:val="clear"/>
          <w:rtl/>
        </w:rPr>
        <w:t xml:space="preserve">[אין]</w:t>
      </w:r>
      <w:r>
        <w:rPr>
          <w:rFonts w:ascii="Arial" w:cs="Arial" w:eastAsia="Arial" w:hAnsi="Arial"/>
          <w:sz w:val="22"/>
          <w:szCs w:val="22"/>
          <w:rtl/>
        </w:rPr>
        <w:t xml:space="preserve"> לו צורך במימון חיצוני / </w:t>
      </w:r>
      <w:r>
        <w:rPr>
          <w:rFonts w:ascii="Arial" w:cs="Arial" w:eastAsia="Arial" w:hAnsi="Arial"/>
          <w:sz w:val="22"/>
          <w:szCs w:val="22"/>
          <w:shd w:fill="D9D9D9" w:color="auto" w:val="clear"/>
          <w:rtl/>
        </w:rPr>
        <w:t xml:space="preserve">[יש]</w:t>
      </w:r>
      <w:r>
        <w:rPr>
          <w:rFonts w:ascii="Arial" w:cs="Arial" w:eastAsia="Arial" w:hAnsi="Arial"/>
          <w:sz w:val="22"/>
          <w:szCs w:val="22"/>
          <w:rtl/>
        </w:rPr>
        <w:t xml:space="preserve"> בכוונתו לממן חלק מהתמורה באמצעות משכנתא בסך של עד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כמפורט בסעיף 6. אי קבלת המשכנתא תהיה עילה לביטול החוזה רק אם נקבע תנאי מתלה בסעיף 6.4; בהיעדר תנאי כזה היא אינה פוטרת את הקונה מחיוביו.</w:t>
      </w:r>
    </w:p>
    <w:p>
      <w:pPr>
        <w:pStyle w:val="Heading1"/>
        <w:bidi/>
      </w:pPr>
      <w:r>
        <w:rPr>
          <w:rFonts w:ascii="Arial" w:cs="Arial" w:eastAsia="Arial" w:hAnsi="Arial"/>
          <w:b/>
          <w:bCs/>
          <w:sz w:val="32"/>
          <w:szCs w:val="32"/>
          <w:rtl/>
        </w:rPr>
        <w:t xml:space="preserve">5. התמורה ותנאי התשלום</w:t>
      </w:r>
    </w:p>
    <w:p>
      <w:pPr>
        <w:bidi/>
        <w:spacing w:after="120" w:line="300"/>
      </w:pPr>
      <w:r>
        <w:rPr>
          <w:rFonts w:ascii="Arial" w:cs="Arial" w:eastAsia="Arial" w:hAnsi="Arial"/>
          <w:sz w:val="22"/>
          <w:szCs w:val="22"/>
          <w:rtl/>
        </w:rPr>
        <w:t xml:space="preserve">5.1 התמורה המוסכמת: </w:t>
      </w:r>
      <w:r>
        <w:rPr>
          <w:rFonts w:ascii="Arial" w:cs="Arial" w:eastAsia="Arial" w:hAnsi="Arial"/>
          <w:sz w:val="22"/>
          <w:szCs w:val="22"/>
          <w:shd w:fill="D9D9D9" w:color="auto" w:val="clear"/>
          <w:rtl/>
        </w:rPr>
        <w:t xml:space="preserve">[סכום במספרים]</w:t>
      </w:r>
      <w:r>
        <w:rPr>
          <w:rFonts w:ascii="Arial" w:cs="Arial" w:eastAsia="Arial" w:hAnsi="Arial"/>
          <w:sz w:val="22"/>
          <w:szCs w:val="22"/>
          <w:rtl/>
        </w:rPr>
        <w:t xml:space="preserve"> ש״ח (</w:t>
      </w:r>
      <w:r>
        <w:rPr>
          <w:rFonts w:ascii="Arial" w:cs="Arial" w:eastAsia="Arial" w:hAnsi="Arial"/>
          <w:sz w:val="22"/>
          <w:szCs w:val="22"/>
          <w:shd w:fill="D9D9D9" w:color="auto" w:val="clear"/>
          <w:rtl/>
        </w:rPr>
        <w:t xml:space="preserve">[סכום במילים]</w:t>
      </w:r>
      <w:r>
        <w:rPr>
          <w:rFonts w:ascii="Arial" w:cs="Arial" w:eastAsia="Arial" w:hAnsi="Arial"/>
          <w:sz w:val="22"/>
          <w:szCs w:val="22"/>
          <w:rtl/>
        </w:rPr>
        <w:t xml:space="preserve"> שקלים חדשים) (להלן: "התמורה"). התמורה כוללת את המטלטלין המפורטים בנספח ג.</w:t>
      </w:r>
    </w:p>
    <w:p>
      <w:pPr>
        <w:bidi/>
        <w:spacing w:after="120" w:line="300"/>
      </w:pPr>
      <w:r>
        <w:rPr>
          <w:rFonts w:ascii="Arial" w:cs="Arial" w:eastAsia="Arial" w:hAnsi="Arial"/>
          <w:sz w:val="22"/>
          <w:szCs w:val="22"/>
          <w:rtl/>
        </w:rPr>
        <w:t xml:space="preserve">5.2 התמורה תשולם כך:</w:t>
      </w:r>
    </w:p>
    <w:p>
      <w:pPr>
        <w:pStyle w:val="ListParagraph"/>
        <w:numPr>
          <w:ilvl w:val="0"/>
          <w:numId w:val="7"/>
        </w:numPr>
        <w:bidi/>
        <w:spacing w:after="80" w:line="300"/>
      </w:pPr>
      <w:r>
        <w:rPr>
          <w:rFonts w:ascii="Arial" w:cs="Arial" w:eastAsia="Arial" w:hAnsi="Arial"/>
          <w:sz w:val="22"/>
          <w:szCs w:val="22"/>
          <w:rtl/>
        </w:rPr>
        <w:t xml:space="preserve">תשלום ראשון: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מהתמורה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במעמד החתימה, שיופקד בנאמנות בידי ב״כ המוכר לפי סעיף 5.6 עד לרישום הערת האזהרה לטובת הקונה, ויועבר למוכר עם הצגת אישור הרישום. </w:t>
      </w:r>
      <w:r>
        <w:rPr>
          <w:rFonts w:ascii="Arial" w:cs="Arial" w:eastAsia="Arial" w:hAnsi="Arial"/>
          <w:sz w:val="22"/>
          <w:szCs w:val="22"/>
          <w:shd w:fill="D9D9D9" w:color="auto" w:val="clear"/>
          <w:rtl/>
        </w:rPr>
        <w:t xml:space="preserve">[חלופה, פחות מומלצת לקונה: העברה בנקאית ישירה לחשבון המוכר במעמד החתימה.]</w:t>
      </w:r>
    </w:p>
    <w:p>
      <w:pPr>
        <w:pStyle w:val="ListParagraph"/>
        <w:numPr>
          <w:ilvl w:val="0"/>
          <w:numId w:val="7"/>
        </w:numPr>
        <w:bidi/>
        <w:spacing w:after="80" w:line="300"/>
      </w:pPr>
      <w:r>
        <w:rPr>
          <w:rFonts w:ascii="Arial" w:cs="Arial" w:eastAsia="Arial" w:hAnsi="Arial"/>
          <w:sz w:val="22"/>
          <w:szCs w:val="22"/>
          <w:rtl/>
        </w:rPr>
        <w:t xml:space="preserve">תשלום שני: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מהתמורה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עד ליום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ובלבד שעד אז נרשמה הערת אזהרה לטובת הקונה לפי סעיף 8.</w:t>
      </w:r>
    </w:p>
    <w:p>
      <w:pPr>
        <w:pStyle w:val="ListParagraph"/>
        <w:numPr>
          <w:ilvl w:val="0"/>
          <w:numId w:val="7"/>
        </w:numPr>
        <w:bidi/>
        <w:spacing w:after="80" w:line="300"/>
      </w:pPr>
      <w:r>
        <w:rPr>
          <w:rFonts w:ascii="Arial" w:cs="Arial" w:eastAsia="Arial" w:hAnsi="Arial"/>
          <w:sz w:val="22"/>
          <w:szCs w:val="22"/>
          <w:rtl/>
        </w:rPr>
        <w:t xml:space="preserve">תשלום שלישי: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מהתמורה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עד ליום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שישולם במישרין לבנק המלווה של המוכר, לפי מכתב כוונות/מכתב סילוק עדכני, עד לגובה יתרת ההלוואה, והיתרה למוכר.</w:t>
      </w:r>
    </w:p>
    <w:p>
      <w:pPr>
        <w:pStyle w:val="ListParagraph"/>
        <w:numPr>
          <w:ilvl w:val="0"/>
          <w:numId w:val="7"/>
        </w:numPr>
        <w:bidi/>
        <w:spacing w:after="80" w:line="300"/>
      </w:pPr>
      <w:r>
        <w:rPr>
          <w:rFonts w:ascii="Arial" w:cs="Arial" w:eastAsia="Arial" w:hAnsi="Arial"/>
          <w:sz w:val="22"/>
          <w:szCs w:val="22"/>
          <w:rtl/>
        </w:rPr>
        <w:t xml:space="preserve">תשלום אחרון: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מהתמורה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במועד מסירת החזקה, בכפוף לקיום התחייבויות המוכר עד אותו מועד.</w:t>
      </w:r>
    </w:p>
    <w:p>
      <w:pPr>
        <w:pStyle w:val="ListParagraph"/>
        <w:numPr>
          <w:ilvl w:val="0"/>
          <w:numId w:val="7"/>
        </w:numPr>
        <w:bidi/>
        <w:spacing w:after="80" w:line="300"/>
      </w:pPr>
      <w:r>
        <w:rPr>
          <w:rFonts w:ascii="Arial" w:cs="Arial" w:eastAsia="Arial" w:hAnsi="Arial"/>
          <w:sz w:val="22"/>
          <w:szCs w:val="22"/>
          <w:rtl/>
        </w:rPr>
        <w:t xml:space="preserve">סכום מעוכב: מתוך התשלום האחרון יוחזק סך של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בנאמנות בידי ב״כ </w:t>
      </w:r>
      <w:r>
        <w:rPr>
          <w:rFonts w:ascii="Arial" w:cs="Arial" w:eastAsia="Arial" w:hAnsi="Arial"/>
          <w:sz w:val="22"/>
          <w:szCs w:val="22"/>
          <w:shd w:fill="D9D9D9" w:color="auto" w:val="clear"/>
          <w:rtl/>
        </w:rPr>
        <w:t xml:space="preserve">[הקונה/המוכר]</w:t>
      </w:r>
      <w:r>
        <w:rPr>
          <w:rFonts w:ascii="Arial" w:cs="Arial" w:eastAsia="Arial" w:hAnsi="Arial"/>
          <w:sz w:val="22"/>
          <w:szCs w:val="22"/>
          <w:rtl/>
        </w:rPr>
        <w:t xml:space="preserve"> לפי סעיף 5.6, עד להמצאת אישור מיסוי מקרקעין לעניין מס שבח, אישור הרשות המקומית ואישור ועד הבית / החברה המשכנת, לפי העניין, ואז ישוחרר למוכר.</w:t>
      </w:r>
    </w:p>
    <w:p>
      <w:pPr>
        <w:pStyle w:val="ListParagraph"/>
        <w:numPr>
          <w:ilvl w:val="0"/>
          <w:numId w:val="7"/>
        </w:numPr>
        <w:bidi/>
        <w:spacing w:after="80" w:line="300"/>
      </w:pPr>
      <w:r>
        <w:rPr>
          <w:rFonts w:ascii="Arial" w:cs="Arial" w:eastAsia="Arial" w:hAnsi="Arial"/>
          <w:sz w:val="22"/>
          <w:szCs w:val="22"/>
          <w:rtl/>
        </w:rPr>
        <w:t xml:space="preserve">5.3 כל תשלום ייחשב כשולם רק עם קבלתו בפועל בחשבון היעד.</w:t>
      </w:r>
    </w:p>
    <w:p>
      <w:pPr>
        <w:pStyle w:val="ListParagraph"/>
        <w:numPr>
          <w:ilvl w:val="0"/>
          <w:numId w:val="7"/>
        </w:numPr>
        <w:bidi/>
        <w:spacing w:after="80" w:line="300"/>
      </w:pPr>
      <w:r>
        <w:rPr>
          <w:rFonts w:ascii="Arial" w:cs="Arial" w:eastAsia="Arial" w:hAnsi="Arial"/>
          <w:sz w:val="22"/>
          <w:szCs w:val="22"/>
          <w:rtl/>
        </w:rPr>
        <w:t xml:space="preserve">5.4 איחור בתשלום של עד </w:t>
      </w:r>
      <w:r>
        <w:rPr>
          <w:rFonts w:ascii="Arial" w:cs="Arial" w:eastAsia="Arial" w:hAnsi="Arial"/>
          <w:sz w:val="22"/>
          <w:szCs w:val="22"/>
          <w:shd w:fill="D9D9D9" w:color="auto" w:val="clear"/>
          <w:rtl/>
        </w:rPr>
        <w:t xml:space="preserve">[7]</w:t>
      </w:r>
      <w:r>
        <w:rPr>
          <w:rFonts w:ascii="Arial" w:cs="Arial" w:eastAsia="Arial" w:hAnsi="Arial"/>
          <w:sz w:val="22"/>
          <w:szCs w:val="22"/>
          <w:rtl/>
        </w:rPr>
        <w:t xml:space="preserve"> ימים לא ייחשב הפרה. איחור מעבר לכך יישא </w:t>
      </w:r>
      <w:r>
        <w:rPr>
          <w:rFonts w:ascii="Arial" w:cs="Arial" w:eastAsia="Arial" w:hAnsi="Arial"/>
          <w:sz w:val="22"/>
          <w:szCs w:val="22"/>
          <w:shd w:fill="D9D9D9" w:color="auto" w:val="clear"/>
          <w:rtl/>
        </w:rPr>
        <w:t xml:space="preserve">[הפרשי הצמדה וריבית / ריבית פיגורים בשיעור __]</w:t>
      </w:r>
      <w:r>
        <w:rPr>
          <w:rFonts w:ascii="Arial" w:cs="Arial" w:eastAsia="Arial" w:hAnsi="Arial"/>
          <w:sz w:val="22"/>
          <w:szCs w:val="22"/>
          <w:rtl/>
        </w:rPr>
        <w:t xml:space="preserve"> מהמועד שנקבע ועד התשלום בפועל, וזאת מבלי לגרוע מכל סעד אחר.</w:t>
      </w:r>
    </w:p>
    <w:p>
      <w:pPr>
        <w:pStyle w:val="ListParagraph"/>
        <w:numPr>
          <w:ilvl w:val="0"/>
          <w:numId w:val="7"/>
        </w:numPr>
        <w:bidi/>
        <w:spacing w:after="80" w:line="300"/>
      </w:pPr>
      <w:r>
        <w:rPr>
          <w:rFonts w:ascii="Arial" w:cs="Arial" w:eastAsia="Arial" w:hAnsi="Arial"/>
          <w:sz w:val="22"/>
          <w:szCs w:val="22"/>
          <w:rtl/>
        </w:rPr>
        <w:t xml:space="preserve">5.5 </w:t>
      </w:r>
      <w:r>
        <w:rPr>
          <w:rFonts w:ascii="Arial" w:cs="Arial" w:eastAsia="Arial" w:hAnsi="Arial"/>
          <w:sz w:val="22"/>
          <w:szCs w:val="22"/>
          <w:shd w:fill="D9D9D9" w:color="auto" w:val="clear"/>
          <w:rtl/>
        </w:rPr>
        <w:t xml:space="preserve">[הצמדה למדד: התמורה / יתרת התמורה תהיה צמודה / אינה צמודה למדד המחירים לצרכן.]</w:t>
      </w:r>
    </w:p>
    <w:p>
      <w:pPr>
        <w:pStyle w:val="ListParagraph"/>
        <w:numPr>
          <w:ilvl w:val="0"/>
          <w:numId w:val="7"/>
        </w:numPr>
        <w:bidi/>
        <w:spacing w:after="80" w:line="300"/>
      </w:pPr>
      <w:r>
        <w:rPr>
          <w:rFonts w:ascii="Arial" w:cs="Arial" w:eastAsia="Arial" w:hAnsi="Arial"/>
          <w:sz w:val="22"/>
          <w:szCs w:val="22"/>
          <w:rtl/>
        </w:rPr>
        <w:t xml:space="preserve">5.6 הוראות הנאמנות: (א) כספים שהופקדו בנאמנות לפי חוזה זה יוחזקו בחשבון נאמנות נפרד על שם הנאמן, </w:t>
      </w:r>
      <w:r>
        <w:rPr>
          <w:rFonts w:ascii="Arial" w:cs="Arial" w:eastAsia="Arial" w:hAnsi="Arial"/>
          <w:sz w:val="22"/>
          <w:szCs w:val="22"/>
          <w:shd w:fill="D9D9D9" w:color="auto" w:val="clear"/>
          <w:rtl/>
        </w:rPr>
        <w:t xml:space="preserve">[ויושקעו בפיקדון בנקאי נושא ריבית / ולא יושקעו]</w:t>
      </w:r>
      <w:r>
        <w:rPr>
          <w:rFonts w:ascii="Arial" w:cs="Arial" w:eastAsia="Arial" w:hAnsi="Arial"/>
          <w:sz w:val="22"/>
          <w:szCs w:val="22"/>
          <w:rtl/>
        </w:rPr>
        <w:t xml:space="preserve">; פירות, אם יהיו, ילכו אחר הקרן. (ב) הנאמן יעביר את הכספים למוכר רק עם התקיימות התנאי לשחרורם לפי חוזה זה, ויחזירם לקונה אם החוזה בוטל כדין או אם לא התקיים התנאי המתלה לפי סעיף 6.4. (ג) הנאמן יפעל לפי הוראות חוזה זה בלבד; במחלוקת בין הצדדים לגבי השחרור, רשאי הנאמן להמשיך להחזיק בכספים עד להסכמה בכתב של שני הצדדים או להחלטה שיפוטית. (ד) הצדדים מסכימים כי היות ב״כ אחד הצדדים נאמן לא תמנע ממנו להמשיך לייצג את מרשו.</w:t>
      </w:r>
    </w:p>
    <w:p>
      <w:pPr>
        <w:pStyle w:val="Heading1"/>
        <w:bidi/>
      </w:pPr>
      <w:r>
        <w:rPr>
          <w:rFonts w:ascii="Arial" w:cs="Arial" w:eastAsia="Arial" w:hAnsi="Arial"/>
          <w:b/>
          <w:bCs/>
          <w:sz w:val="32"/>
          <w:szCs w:val="32"/>
          <w:rtl/>
        </w:rPr>
        <w:t xml:space="preserve">6. מימון הקונה (משכנתא) ותנאי מתלה</w:t>
      </w:r>
    </w:p>
    <w:p>
      <w:pPr>
        <w:pStyle w:val="ListParagraph"/>
        <w:numPr>
          <w:ilvl w:val="0"/>
          <w:numId w:val="8"/>
        </w:numPr>
        <w:bidi/>
        <w:spacing w:after="80" w:line="300"/>
      </w:pPr>
      <w:r>
        <w:rPr>
          <w:rFonts w:ascii="Arial" w:cs="Arial" w:eastAsia="Arial" w:hAnsi="Arial"/>
          <w:sz w:val="22"/>
          <w:szCs w:val="22"/>
          <w:rtl/>
        </w:rPr>
        <w:t xml:space="preserve">6.1 המוכר יחתום, בתוך </w:t>
      </w:r>
      <w:r>
        <w:rPr>
          <w:rFonts w:ascii="Arial" w:cs="Arial" w:eastAsia="Arial" w:hAnsi="Arial"/>
          <w:sz w:val="22"/>
          <w:szCs w:val="22"/>
          <w:shd w:fill="D9D9D9" w:color="auto" w:val="clear"/>
          <w:rtl/>
        </w:rPr>
        <w:t xml:space="preserve">[7]</w:t>
      </w:r>
      <w:r>
        <w:rPr>
          <w:rFonts w:ascii="Arial" w:cs="Arial" w:eastAsia="Arial" w:hAnsi="Arial"/>
          <w:sz w:val="22"/>
          <w:szCs w:val="22"/>
          <w:rtl/>
        </w:rPr>
        <w:t xml:space="preserve"> ימים מדרישה, על כל מסמך שיידרש על ידי הבנק המממן של הקונה, לרבות התחייבות לרישום משכנתא, ובלבד שכספי ההלוואה יועברו למוכר או לבנק של המוכר, ושחתימתו לא תטיל עליו חיוב כספי כלשהו.</w:t>
      </w:r>
    </w:p>
    <w:p>
      <w:pPr>
        <w:pStyle w:val="ListParagraph"/>
        <w:numPr>
          <w:ilvl w:val="0"/>
          <w:numId w:val="8"/>
        </w:numPr>
        <w:bidi/>
        <w:spacing w:after="80" w:line="300"/>
      </w:pPr>
      <w:r>
        <w:rPr>
          <w:rFonts w:ascii="Arial" w:cs="Arial" w:eastAsia="Arial" w:hAnsi="Arial"/>
          <w:sz w:val="22"/>
          <w:szCs w:val="22"/>
          <w:rtl/>
        </w:rPr>
        <w:t xml:space="preserve">6.2 מועדי התשלום בסעיף 5 נקבעו בהתאם לזמן הנדרש לבנק המממן להעמיד את ההלוואה. עיכוב שנגרם בשל הבנק המממן, שאינו באשמת הקונה, </w:t>
      </w:r>
      <w:r>
        <w:rPr>
          <w:rFonts w:ascii="Arial" w:cs="Arial" w:eastAsia="Arial" w:hAnsi="Arial"/>
          <w:sz w:val="22"/>
          <w:szCs w:val="22"/>
          <w:shd w:fill="D9D9D9" w:color="auto" w:val="clear"/>
          <w:rtl/>
        </w:rPr>
        <w:t xml:space="preserve">[יאריך את המועד ב-__ ימים / לא יאריך את המועד]</w:t>
      </w:r>
      <w:r>
        <w:rPr>
          <w:rFonts w:ascii="Arial" w:cs="Arial" w:eastAsia="Arial" w:hAnsi="Arial"/>
          <w:sz w:val="22"/>
          <w:szCs w:val="22"/>
          <w:rtl/>
        </w:rPr>
        <w:t xml:space="preserve">.</w:t>
      </w:r>
    </w:p>
    <w:p>
      <w:pPr>
        <w:pStyle w:val="ListParagraph"/>
        <w:numPr>
          <w:ilvl w:val="0"/>
          <w:numId w:val="8"/>
        </w:numPr>
        <w:bidi/>
        <w:spacing w:after="80" w:line="300"/>
      </w:pPr>
      <w:r>
        <w:rPr>
          <w:rFonts w:ascii="Arial" w:cs="Arial" w:eastAsia="Arial" w:hAnsi="Arial"/>
          <w:sz w:val="22"/>
          <w:szCs w:val="22"/>
          <w:rtl/>
        </w:rPr>
        <w:t xml:space="preserve">6.3 לא נרשמה המשכנתא לטובת הבנק המממן עד מועד רישום הזכויות, יסייע המוכר לרישומה ללא תמורה נוספת.</w:t>
      </w:r>
    </w:p>
    <w:p>
      <w:pPr>
        <w:pStyle w:val="ListParagraph"/>
        <w:numPr>
          <w:ilvl w:val="0"/>
          <w:numId w:val="8"/>
        </w:numPr>
        <w:bidi/>
        <w:spacing w:after="80" w:line="300"/>
      </w:pPr>
      <w:r>
        <w:rPr>
          <w:rFonts w:ascii="Arial" w:cs="Arial" w:eastAsia="Arial" w:hAnsi="Arial"/>
          <w:sz w:val="22"/>
          <w:szCs w:val="22"/>
          <w:rtl/>
        </w:rPr>
        <w:t xml:space="preserve">6.4 תנאי מתלה </w:t>
      </w:r>
      <w:r>
        <w:rPr>
          <w:rFonts w:ascii="Arial" w:cs="Arial" w:eastAsia="Arial" w:hAnsi="Arial"/>
          <w:sz w:val="22"/>
          <w:szCs w:val="22"/>
          <w:shd w:fill="D9D9D9" w:color="auto" w:val="clear"/>
          <w:rtl/>
        </w:rPr>
        <w:t xml:space="preserve">[אופציונלי; למחוק אם הקונה אינו נזקק למימון]</w:t>
      </w:r>
      <w:r>
        <w:rPr>
          <w:rFonts w:ascii="Arial" w:cs="Arial" w:eastAsia="Arial" w:hAnsi="Arial"/>
          <w:sz w:val="22"/>
          <w:szCs w:val="22"/>
          <w:rtl/>
        </w:rPr>
        <w:t xml:space="preserve">: חוזה זה מותנה בקבלת אישור למתן הלוואה לקונה מבנק מממן, בסך של עד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עד ליום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(להלן: "המועד הקובע"). הקונה יגיש בקשה להלוואה בתוך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ימים מיום החתימה, יפעל בשקידה סבירה ובתום לב לקבלת האישור, ויציג למוכר לפי דרישתו אישור על הגשת הבקשה.</w:t>
      </w:r>
    </w:p>
    <w:p>
      <w:pPr>
        <w:pStyle w:val="ListParagraph"/>
        <w:numPr>
          <w:ilvl w:val="0"/>
          <w:numId w:val="8"/>
        </w:numPr>
        <w:bidi/>
        <w:spacing w:after="80" w:line="300"/>
      </w:pPr>
      <w:r>
        <w:rPr>
          <w:rFonts w:ascii="Arial" w:cs="Arial" w:eastAsia="Arial" w:hAnsi="Arial"/>
          <w:sz w:val="22"/>
          <w:szCs w:val="22"/>
          <w:rtl/>
        </w:rPr>
        <w:t xml:space="preserve">6.5 לא התקיים התנאי עד המועד הקובע, רשאי הקונה לבטל את החוזה בהודעה בכתב שתימסר למוכר עד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ימים לאחר המועד הקובע, ויצרף לה את תשובת הבנק. בוטל החוזה כאמור, יוחזרו לקונה כל הכספים ששילם, לרבות כספים בנאמנות, בתוך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ימים, ללא פיצוי מוסכם וללא פיצוי אחר לאף צד, והקונה ימחק את הערת האזהרה. לא נמסרה הודעת ביטול במועד, יראו את הקונה כמי שוויתר על התנאי.</w:t>
      </w:r>
    </w:p>
    <w:p>
      <w:pPr>
        <w:pStyle w:val="ListParagraph"/>
        <w:numPr>
          <w:ilvl w:val="0"/>
          <w:numId w:val="8"/>
        </w:numPr>
        <w:bidi/>
        <w:spacing w:after="80" w:line="300"/>
      </w:pPr>
      <w:r>
        <w:rPr>
          <w:rFonts w:ascii="Arial" w:cs="Arial" w:eastAsia="Arial" w:hAnsi="Arial"/>
          <w:sz w:val="22"/>
          <w:szCs w:val="22"/>
          <w:rtl/>
        </w:rPr>
        <w:t xml:space="preserve">6.6 </w:t>
      </w:r>
      <w:r>
        <w:rPr>
          <w:rFonts w:ascii="Arial" w:cs="Arial" w:eastAsia="Arial" w:hAnsi="Arial"/>
          <w:sz w:val="22"/>
          <w:szCs w:val="22"/>
          <w:shd w:fill="D9D9D9" w:color="auto" w:val="clear"/>
          <w:rtl/>
        </w:rPr>
        <w:t xml:space="preserve">[אופציונלי]</w:t>
      </w:r>
      <w:r>
        <w:rPr>
          <w:rFonts w:ascii="Arial" w:cs="Arial" w:eastAsia="Arial" w:hAnsi="Arial"/>
          <w:sz w:val="22"/>
          <w:szCs w:val="22"/>
          <w:rtl/>
        </w:rPr>
        <w:t xml:space="preserve"> תנאים מתלים נוספים שהוסכמו: </w:t>
      </w:r>
      <w:r>
        <w:rPr>
          <w:rFonts w:ascii="Arial" w:cs="Arial" w:eastAsia="Arial" w:hAnsi="Arial"/>
          <w:sz w:val="22"/>
          <w:szCs w:val="22"/>
          <w:shd w:fill="D9D9D9" w:color="auto" w:val="clear"/>
          <w:rtl/>
        </w:rPr>
        <w:t xml:space="preserve">[למשל: אישור מיסוי מקרקעין לפטור ממס שבח / מכירת הדירה הקיימת של הקונה עד __]</w:t>
      </w:r>
      <w:r>
        <w:rPr>
          <w:rFonts w:ascii="Arial" w:cs="Arial" w:eastAsia="Arial" w:hAnsi="Arial"/>
          <w:sz w:val="22"/>
          <w:szCs w:val="22"/>
          <w:rtl/>
        </w:rPr>
        <w:t xml:space="preserve">. לכל תנאי ייקבעו במפורש המועד לקיומו, הצד הרשאי לבטל ותוצאות אי-קיומו.</w:t>
      </w:r>
    </w:p>
    <w:p>
      <w:pPr>
        <w:pStyle w:val="Heading1"/>
        <w:bidi/>
      </w:pPr>
      <w:r>
        <w:rPr>
          <w:rFonts w:ascii="Arial" w:cs="Arial" w:eastAsia="Arial" w:hAnsi="Arial"/>
          <w:b/>
          <w:bCs/>
          <w:sz w:val="32"/>
          <w:szCs w:val="32"/>
          <w:rtl/>
        </w:rPr>
        <w:t xml:space="preserve">7. סילוק המשכנתא של המוכר (פדיון ההלוואה)</w:t>
      </w:r>
    </w:p>
    <w:p>
      <w:pPr>
        <w:pStyle w:val="ListParagraph"/>
        <w:numPr>
          <w:ilvl w:val="0"/>
          <w:numId w:val="9"/>
        </w:numPr>
        <w:bidi/>
        <w:spacing w:after="80" w:line="300"/>
      </w:pPr>
      <w:r>
        <w:rPr>
          <w:rFonts w:ascii="Arial" w:cs="Arial" w:eastAsia="Arial" w:hAnsi="Arial"/>
          <w:sz w:val="22"/>
          <w:szCs w:val="22"/>
          <w:rtl/>
        </w:rPr>
        <w:t xml:space="preserve">7.1 המוכר מצהיר כי על הדירה רשומה משכנתא לטובת </w:t>
      </w:r>
      <w:r>
        <w:rPr>
          <w:rFonts w:ascii="Arial" w:cs="Arial" w:eastAsia="Arial" w:hAnsi="Arial"/>
          <w:sz w:val="22"/>
          <w:szCs w:val="22"/>
          <w:shd w:fill="D9D9D9" w:color="auto" w:val="clear"/>
          <w:rtl/>
        </w:rPr>
        <w:t xml:space="preserve">[שם הבנק]</w:t>
      </w:r>
      <w:r>
        <w:rPr>
          <w:rFonts w:ascii="Arial" w:cs="Arial" w:eastAsia="Arial" w:hAnsi="Arial"/>
          <w:sz w:val="22"/>
          <w:szCs w:val="22"/>
          <w:rtl/>
        </w:rPr>
        <w:t xml:space="preserve">, ויתרת ההלוואה למועד החתימה כ-</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w:t>
      </w:r>
    </w:p>
    <w:p>
      <w:pPr>
        <w:pStyle w:val="ListParagraph"/>
        <w:numPr>
          <w:ilvl w:val="0"/>
          <w:numId w:val="9"/>
        </w:numPr>
        <w:bidi/>
        <w:spacing w:after="80" w:line="300"/>
      </w:pPr>
      <w:r>
        <w:rPr>
          <w:rFonts w:ascii="Arial" w:cs="Arial" w:eastAsia="Arial" w:hAnsi="Arial"/>
          <w:sz w:val="22"/>
          <w:szCs w:val="22"/>
          <w:rtl/>
        </w:rPr>
        <w:t xml:space="preserve">7.2 המוכר ימציא לב״כ הקונה, לפני התשלום השלישי, מכתב כוונות/מכתב סילוק עדכני מהבנק, ובו יתרת החוב המדויקת ופרטי חשבון הסילוק, וכן התחייבות הבנק להמציא מסמכי ביטול המשכנתא עם קבלת הסכום.</w:t>
      </w:r>
    </w:p>
    <w:p>
      <w:pPr>
        <w:pStyle w:val="ListParagraph"/>
        <w:numPr>
          <w:ilvl w:val="0"/>
          <w:numId w:val="9"/>
        </w:numPr>
        <w:bidi/>
        <w:spacing w:after="80" w:line="300"/>
      </w:pPr>
      <w:r>
        <w:rPr>
          <w:rFonts w:ascii="Arial" w:cs="Arial" w:eastAsia="Arial" w:hAnsi="Arial"/>
          <w:sz w:val="22"/>
          <w:szCs w:val="22"/>
          <w:rtl/>
        </w:rPr>
        <w:t xml:space="preserve">7.3 עלה סכום הסילוק על יתרת התמורה שטרם שולמה, ישלים המוכר את ההפרש לפני מועד המסירה.</w:t>
      </w:r>
    </w:p>
    <w:p>
      <w:pPr>
        <w:pStyle w:val="ListParagraph"/>
        <w:numPr>
          <w:ilvl w:val="0"/>
          <w:numId w:val="9"/>
        </w:numPr>
        <w:bidi/>
        <w:spacing w:after="80" w:line="300"/>
      </w:pPr>
      <w:r>
        <w:rPr>
          <w:rFonts w:ascii="Arial" w:cs="Arial" w:eastAsia="Arial" w:hAnsi="Arial"/>
          <w:sz w:val="22"/>
          <w:szCs w:val="22"/>
          <w:rtl/>
        </w:rPr>
        <w:t xml:space="preserve">7.4 המוכר יפעל לביטול רישום המשכנתא ויציג אישור על כך בתוך </w:t>
      </w:r>
      <w:r>
        <w:rPr>
          <w:rFonts w:ascii="Arial" w:cs="Arial" w:eastAsia="Arial" w:hAnsi="Arial"/>
          <w:sz w:val="22"/>
          <w:szCs w:val="22"/>
          <w:shd w:fill="D9D9D9" w:color="auto" w:val="clear"/>
          <w:rtl/>
        </w:rPr>
        <w:t xml:space="preserve">[30]</w:t>
      </w:r>
      <w:r>
        <w:rPr>
          <w:rFonts w:ascii="Arial" w:cs="Arial" w:eastAsia="Arial" w:hAnsi="Arial"/>
          <w:sz w:val="22"/>
          <w:szCs w:val="22"/>
          <w:rtl/>
        </w:rPr>
        <w:t xml:space="preserve"> ימים מסילוקה. תשלום ששולם לבנק המוכר לפי סעיף זה ייחשב כתשלום על חשבון התמורה.</w:t>
      </w:r>
    </w:p>
    <w:p>
      <w:pPr>
        <w:pStyle w:val="Heading1"/>
        <w:bidi/>
      </w:pPr>
      <w:r>
        <w:rPr>
          <w:rFonts w:ascii="Arial" w:cs="Arial" w:eastAsia="Arial" w:hAnsi="Arial"/>
          <w:b/>
          <w:bCs/>
          <w:sz w:val="32"/>
          <w:szCs w:val="32"/>
          <w:rtl/>
        </w:rPr>
        <w:t xml:space="preserve">8. הערת אזהרה</w:t>
      </w:r>
    </w:p>
    <w:p>
      <w:pPr>
        <w:pStyle w:val="ListParagraph"/>
        <w:numPr>
          <w:ilvl w:val="0"/>
          <w:numId w:val="10"/>
        </w:numPr>
        <w:bidi/>
        <w:spacing w:after="80" w:line="300"/>
      </w:pPr>
      <w:r>
        <w:rPr>
          <w:rFonts w:ascii="Arial" w:cs="Arial" w:eastAsia="Arial" w:hAnsi="Arial"/>
          <w:sz w:val="22"/>
          <w:szCs w:val="22"/>
          <w:rtl/>
        </w:rPr>
        <w:t xml:space="preserve">8.1 המוכר חותם במעמד החתימה על בקשה לרישום הערת אזהרה לטובת הקונה, לפי סעיף 126 לחוק המקרקעין, התשכ״ט-1969, וב״כ הקונה ירשום אותה סמוך לאחר החתימה.</w:t>
      </w:r>
    </w:p>
    <w:p>
      <w:pPr>
        <w:pStyle w:val="ListParagraph"/>
        <w:numPr>
          <w:ilvl w:val="0"/>
          <w:numId w:val="10"/>
        </w:numPr>
        <w:bidi/>
        <w:spacing w:after="80" w:line="300"/>
      </w:pPr>
      <w:r>
        <w:rPr>
          <w:rFonts w:ascii="Arial" w:cs="Arial" w:eastAsia="Arial" w:hAnsi="Arial"/>
          <w:sz w:val="22"/>
          <w:szCs w:val="22"/>
          <w:rtl/>
        </w:rPr>
        <w:t xml:space="preserve">8.2 הקונה חותם במעמד החתימה על בקשה למחיקת הערת האזהרה, שתופקד בנאמנות בידי ב״כ המוכר. ב״כ המוכר רשאי להשתמש בה רק אם החוזה בוטל כדין, לאחר שהוחזרו לקונה הכספים ששילם בניכוי הפיצוי המוסכם, ולאחר מתן הודעה מוקדמת בכתב של </w:t>
      </w:r>
      <w:r>
        <w:rPr>
          <w:rFonts w:ascii="Arial" w:cs="Arial" w:eastAsia="Arial" w:hAnsi="Arial"/>
          <w:sz w:val="22"/>
          <w:szCs w:val="22"/>
          <w:shd w:fill="D9D9D9" w:color="auto" w:val="clear"/>
          <w:rtl/>
        </w:rPr>
        <w:t xml:space="preserve">[14]</w:t>
      </w:r>
      <w:r>
        <w:rPr>
          <w:rFonts w:ascii="Arial" w:cs="Arial" w:eastAsia="Arial" w:hAnsi="Arial"/>
          <w:sz w:val="22"/>
          <w:szCs w:val="22"/>
          <w:rtl/>
        </w:rPr>
        <w:t xml:space="preserve"> ימים לקונה ולב״כ הקונה.</w:t>
      </w:r>
    </w:p>
    <w:p>
      <w:pPr>
        <w:pStyle w:val="ListParagraph"/>
        <w:numPr>
          <w:ilvl w:val="0"/>
          <w:numId w:val="10"/>
        </w:numPr>
        <w:bidi/>
        <w:spacing w:after="80" w:line="300"/>
      </w:pPr>
      <w:r>
        <w:rPr>
          <w:rFonts w:ascii="Arial" w:cs="Arial" w:eastAsia="Arial" w:hAnsi="Arial"/>
          <w:sz w:val="22"/>
          <w:szCs w:val="22"/>
          <w:rtl/>
        </w:rPr>
        <w:t xml:space="preserve">8.3 הקונה רשאי לרשום הערת אזהרה גם לטובת הבנק המממן שלו.</w:t>
      </w:r>
    </w:p>
    <w:p>
      <w:pPr>
        <w:pStyle w:val="Heading1"/>
        <w:bidi/>
      </w:pPr>
      <w:r>
        <w:rPr>
          <w:rFonts w:ascii="Arial" w:cs="Arial" w:eastAsia="Arial" w:hAnsi="Arial"/>
          <w:b/>
          <w:bCs/>
          <w:sz w:val="32"/>
          <w:szCs w:val="32"/>
          <w:rtl/>
        </w:rPr>
        <w:t xml:space="preserve">9. מסירת החזקה</w:t>
      </w:r>
    </w:p>
    <w:p>
      <w:pPr>
        <w:pStyle w:val="ListParagraph"/>
        <w:numPr>
          <w:ilvl w:val="0"/>
          <w:numId w:val="11"/>
        </w:numPr>
        <w:bidi/>
        <w:spacing w:after="80" w:line="300"/>
      </w:pPr>
      <w:r>
        <w:rPr>
          <w:rFonts w:ascii="Arial" w:cs="Arial" w:eastAsia="Arial" w:hAnsi="Arial"/>
          <w:sz w:val="22"/>
          <w:szCs w:val="22"/>
          <w:rtl/>
        </w:rPr>
        <w:t xml:space="preserve">9.1 החזקה בדירה תימסר לקונה ביום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(להלן: "מועד המסירה"), כשהיא פנויה מכל אדם וחפץ, למעט המטלטלין בנספח ג, ובמצב שבו היא נמצאת היום, בכפוף לבלאי סביר.</w:t>
      </w:r>
    </w:p>
    <w:p>
      <w:pPr>
        <w:pStyle w:val="ListParagraph"/>
        <w:numPr>
          <w:ilvl w:val="0"/>
          <w:numId w:val="11"/>
        </w:numPr>
        <w:bidi/>
        <w:spacing w:after="80" w:line="300"/>
      </w:pPr>
      <w:r>
        <w:rPr>
          <w:rFonts w:ascii="Arial" w:cs="Arial" w:eastAsia="Arial" w:hAnsi="Arial"/>
          <w:sz w:val="22"/>
          <w:szCs w:val="22"/>
          <w:rtl/>
        </w:rPr>
        <w:t xml:space="preserve">9.2 מסירת החזקה מותנית בתשלום מלוא התמורה, למעט הסכום המעוכב לפי סעיף 5.</w:t>
      </w:r>
    </w:p>
    <w:p>
      <w:pPr>
        <w:pStyle w:val="ListParagraph"/>
        <w:numPr>
          <w:ilvl w:val="0"/>
          <w:numId w:val="11"/>
        </w:numPr>
        <w:bidi/>
        <w:spacing w:after="80" w:line="300"/>
      </w:pPr>
      <w:r>
        <w:rPr>
          <w:rFonts w:ascii="Arial" w:cs="Arial" w:eastAsia="Arial" w:hAnsi="Arial"/>
          <w:sz w:val="22"/>
          <w:szCs w:val="22"/>
          <w:rtl/>
        </w:rPr>
        <w:t xml:space="preserve">9.3 במעמד המסירה ייחתם פרוטוקול מסירה, יימסרו המפתחות וייקראו מוני המים, החשמל והגז.</w:t>
      </w:r>
    </w:p>
    <w:p>
      <w:pPr>
        <w:pStyle w:val="ListParagraph"/>
        <w:numPr>
          <w:ilvl w:val="0"/>
          <w:numId w:val="11"/>
        </w:numPr>
        <w:bidi/>
        <w:spacing w:after="80" w:line="300"/>
      </w:pPr>
      <w:r>
        <w:rPr>
          <w:rFonts w:ascii="Arial" w:cs="Arial" w:eastAsia="Arial" w:hAnsi="Arial"/>
          <w:sz w:val="22"/>
          <w:szCs w:val="22"/>
          <w:rtl/>
        </w:rPr>
        <w:t xml:space="preserve">9.4 עד מועד המסירה האחריות לדירה ולנזק בה על המוכר.</w:t>
      </w:r>
    </w:p>
    <w:p>
      <w:pPr>
        <w:pStyle w:val="ListParagraph"/>
        <w:numPr>
          <w:ilvl w:val="0"/>
          <w:numId w:val="11"/>
        </w:numPr>
        <w:bidi/>
        <w:spacing w:after="80" w:line="300"/>
      </w:pPr>
      <w:r>
        <w:rPr>
          <w:rFonts w:ascii="Arial" w:cs="Arial" w:eastAsia="Arial" w:hAnsi="Arial"/>
          <w:sz w:val="22"/>
          <w:szCs w:val="22"/>
          <w:rtl/>
        </w:rPr>
        <w:t xml:space="preserve">9.5 לא מסר המוכר את החזקה בדירה במועד המסירה, ישלם לקונה פיצוי מוסכם בסך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ש״ח לכל יום איחור, וכן ישפה אותו על הוצאות מגורים חלופיים ואחסון שהוכחו ושנגרמו בשל האיחור </w:t>
      </w:r>
      <w:r>
        <w:rPr>
          <w:rFonts w:ascii="Arial" w:cs="Arial" w:eastAsia="Arial" w:hAnsi="Arial"/>
          <w:sz w:val="22"/>
          <w:szCs w:val="22"/>
          <w:shd w:fill="D9D9D9" w:color="auto" w:val="clear"/>
          <w:rtl/>
        </w:rPr>
        <w:t xml:space="preserve">[למחוק אם לא הוסכם]</w:t>
      </w:r>
      <w:r>
        <w:rPr>
          <w:rFonts w:ascii="Arial" w:cs="Arial" w:eastAsia="Arial" w:hAnsi="Arial"/>
          <w:sz w:val="22"/>
          <w:szCs w:val="22"/>
          <w:rtl/>
        </w:rPr>
        <w:t xml:space="preserve">. הקונה רשאי לקזז סכומים אלה מיתרת התמורה. אין בפיצוי זה כדי לגרוע מזכות הקונה לאכוף את החוזה או לבטלו כדין בשל הפרה יסודית.</w:t>
      </w:r>
    </w:p>
    <w:p>
      <w:pPr>
        <w:pStyle w:val="Heading1"/>
        <w:bidi/>
      </w:pPr>
      <w:r>
        <w:rPr>
          <w:rFonts w:ascii="Arial" w:cs="Arial" w:eastAsia="Arial" w:hAnsi="Arial"/>
          <w:b/>
          <w:bCs/>
          <w:sz w:val="32"/>
          <w:szCs w:val="32"/>
          <w:rtl/>
        </w:rPr>
        <w:t xml:space="preserve">10. מסים, היטלים ותשלומים (ברירת המחדל בחוזה זה)</w:t>
      </w:r>
    </w:p>
    <w:p>
      <w:pPr>
        <w:pStyle w:val="ListParagraph"/>
        <w:numPr>
          <w:ilvl w:val="0"/>
          <w:numId w:val="12"/>
        </w:numPr>
        <w:bidi/>
        <w:spacing w:after="80" w:line="300"/>
      </w:pPr>
      <w:r>
        <w:rPr>
          <w:rFonts w:ascii="Arial" w:cs="Arial" w:eastAsia="Arial" w:hAnsi="Arial"/>
          <w:sz w:val="22"/>
          <w:szCs w:val="22"/>
          <w:rtl/>
        </w:rPr>
        <w:t xml:space="preserve">10.1 מס שבח, אם יחול, וכל מס אחר החל על המוכר לפי חוק מיסוי מקרקעין (שבח ורכישה), התשכ״ג-1963: על המוכר.</w:t>
      </w:r>
    </w:p>
    <w:p>
      <w:pPr>
        <w:pStyle w:val="ListParagraph"/>
        <w:numPr>
          <w:ilvl w:val="0"/>
          <w:numId w:val="12"/>
        </w:numPr>
        <w:bidi/>
        <w:spacing w:after="80" w:line="300"/>
      </w:pPr>
      <w:r>
        <w:rPr>
          <w:rFonts w:ascii="Arial" w:cs="Arial" w:eastAsia="Arial" w:hAnsi="Arial"/>
          <w:sz w:val="22"/>
          <w:szCs w:val="22"/>
          <w:rtl/>
        </w:rPr>
        <w:t xml:space="preserve">10.2 מס רכישה: על הקונה.</w:t>
      </w:r>
    </w:p>
    <w:p>
      <w:pPr>
        <w:pStyle w:val="ListParagraph"/>
        <w:numPr>
          <w:ilvl w:val="0"/>
          <w:numId w:val="12"/>
        </w:numPr>
        <w:bidi/>
        <w:spacing w:after="80" w:line="300"/>
      </w:pPr>
      <w:r>
        <w:rPr>
          <w:rFonts w:ascii="Arial" w:cs="Arial" w:eastAsia="Arial" w:hAnsi="Arial"/>
          <w:sz w:val="22"/>
          <w:szCs w:val="22"/>
          <w:rtl/>
        </w:rPr>
        <w:t xml:space="preserve">10.3 היטל השבחה בגין תוכניות שאושרו עד מועד החתימה: על המוכר. היטל בגין תוכניות שיאושרו לאחר מועד החתימה: על הקונה.</w:t>
      </w:r>
    </w:p>
    <w:p>
      <w:pPr>
        <w:pStyle w:val="ListParagraph"/>
        <w:numPr>
          <w:ilvl w:val="0"/>
          <w:numId w:val="12"/>
        </w:numPr>
        <w:bidi/>
        <w:spacing w:after="80" w:line="300"/>
      </w:pPr>
      <w:r>
        <w:rPr>
          <w:rFonts w:ascii="Arial" w:cs="Arial" w:eastAsia="Arial" w:hAnsi="Arial"/>
          <w:sz w:val="22"/>
          <w:szCs w:val="22"/>
          <w:rtl/>
        </w:rPr>
        <w:t xml:space="preserve">10.4 ארנונה, מים, חשמל, גז, דמי ועד בית ותשלומים שוטפים: על המוכר עד מועד המסירה, ועל הקונה מאותו מועד.</w:t>
      </w:r>
    </w:p>
    <w:p>
      <w:pPr>
        <w:pStyle w:val="ListParagraph"/>
        <w:numPr>
          <w:ilvl w:val="0"/>
          <w:numId w:val="12"/>
        </w:numPr>
        <w:bidi/>
        <w:spacing w:after="80" w:line="300"/>
      </w:pPr>
      <w:r>
        <w:rPr>
          <w:rFonts w:ascii="Arial" w:cs="Arial" w:eastAsia="Arial" w:hAnsi="Arial"/>
          <w:sz w:val="22"/>
          <w:szCs w:val="22"/>
          <w:rtl/>
        </w:rPr>
        <w:t xml:space="preserve">10.5 היטלי פיתוח ותשלומי חובה לרשות המקומית שנדרשו עד מועד החתימה: על המוכר.</w:t>
      </w:r>
    </w:p>
    <w:p>
      <w:pPr>
        <w:pStyle w:val="ListParagraph"/>
        <w:numPr>
          <w:ilvl w:val="0"/>
          <w:numId w:val="12"/>
        </w:numPr>
        <w:bidi/>
        <w:spacing w:after="80" w:line="300"/>
      </w:pPr>
      <w:r>
        <w:rPr>
          <w:rFonts w:ascii="Arial" w:cs="Arial" w:eastAsia="Arial" w:hAnsi="Arial"/>
          <w:sz w:val="22"/>
          <w:szCs w:val="22"/>
          <w:rtl/>
        </w:rPr>
        <w:t xml:space="preserve">10.6 הוצאות רישום הזכויות על שם הקונה ורישום המשכנתא שלו: על הקונה. הוצאות ביטול המשכנתא של המוכר ומסירת אישורי המסים: על המוכר.</w:t>
      </w:r>
    </w:p>
    <w:p>
      <w:pPr>
        <w:pStyle w:val="ListParagraph"/>
        <w:numPr>
          <w:ilvl w:val="0"/>
          <w:numId w:val="12"/>
        </w:numPr>
        <w:bidi/>
        <w:spacing w:after="80" w:line="300"/>
      </w:pPr>
      <w:r>
        <w:rPr>
          <w:rFonts w:ascii="Arial" w:cs="Arial" w:eastAsia="Arial" w:hAnsi="Arial"/>
          <w:sz w:val="22"/>
          <w:szCs w:val="22"/>
          <w:rtl/>
        </w:rPr>
        <w:t xml:space="preserve">10.7 כל צד יחתום על טופסי ההצהרה לרשות המסים (לרבות טופס 7000 ונספחיו), והם יוגשו באמצעות ב״כ הצדדים בתוך 30 ימים מיום המכירה. כל צד ישלם את המס החל עליו לפי שומה עצמית בתוך 60 ימים מיום המכירה (סעיפים 73 ו-51 לחוק מיסוי מקרקעין (שבח ורכישה), התשכ״ג-1963), וערעור של צד על שומתו לא יעכב את קיום החוזה.</w:t>
      </w:r>
    </w:p>
    <w:p>
      <w:pPr>
        <w:pStyle w:val="Heading1"/>
        <w:bidi/>
      </w:pPr>
      <w:r>
        <w:rPr>
          <w:rFonts w:ascii="Arial" w:cs="Arial" w:eastAsia="Arial" w:hAnsi="Arial"/>
          <w:b/>
          <w:bCs/>
          <w:sz w:val="32"/>
          <w:szCs w:val="32"/>
          <w:rtl/>
        </w:rPr>
        <w:t xml:space="preserve">11. העברת הזכויות ורישום</w:t>
      </w:r>
    </w:p>
    <w:p>
      <w:pPr>
        <w:pStyle w:val="ListParagraph"/>
        <w:numPr>
          <w:ilvl w:val="0"/>
          <w:numId w:val="13"/>
        </w:numPr>
        <w:bidi/>
        <w:spacing w:after="80" w:line="300"/>
      </w:pPr>
      <w:r>
        <w:rPr>
          <w:rFonts w:ascii="Arial" w:cs="Arial" w:eastAsia="Arial" w:hAnsi="Arial"/>
          <w:sz w:val="22"/>
          <w:szCs w:val="22"/>
          <w:rtl/>
        </w:rPr>
        <w:t xml:space="preserve">11.1 הצדדים יחתמו במעמד החתימה על שטר מכר ועל כל מסמך הדרוש לרישום הזכויות על שם הקונה.</w:t>
      </w:r>
    </w:p>
    <w:p>
      <w:pPr>
        <w:pStyle w:val="ListParagraph"/>
        <w:numPr>
          <w:ilvl w:val="0"/>
          <w:numId w:val="13"/>
        </w:numPr>
        <w:bidi/>
        <w:spacing w:after="80" w:line="300"/>
      </w:pPr>
      <w:r>
        <w:rPr>
          <w:rFonts w:ascii="Arial" w:cs="Arial" w:eastAsia="Arial" w:hAnsi="Arial"/>
          <w:sz w:val="22"/>
          <w:szCs w:val="22"/>
          <w:rtl/>
        </w:rPr>
        <w:t xml:space="preserve">11.2 המוכר ימציא, עד מועד המסירה או בסמוך לו, את האישורים הדרושים לרישום: אישור מיסוי מקרקעין, אישור הרשות המקומית (</w:t>
      </w:r>
      <w:r>
        <w:rPr>
          <w:rFonts w:ascii="Arial" w:cs="Arial" w:eastAsia="Arial" w:hAnsi="Arial"/>
          <w:sz w:val="22"/>
          <w:szCs w:val="22"/>
          <w:shd w:fill="D9D9D9" w:color="auto" w:val="clear"/>
          <w:rtl/>
        </w:rPr>
        <w:t xml:space="preserve">[אישור לטאבו]</w:t>
      </w:r>
      <w:r>
        <w:rPr>
          <w:rFonts w:ascii="Arial" w:cs="Arial" w:eastAsia="Arial" w:hAnsi="Arial"/>
          <w:sz w:val="22"/>
          <w:szCs w:val="22"/>
          <w:rtl/>
        </w:rPr>
        <w:t xml:space="preserve">), ולפי העניין אישור חברה משכנת או רשות מקרקעי ישראל.</w:t>
      </w:r>
    </w:p>
    <w:p>
      <w:pPr>
        <w:pStyle w:val="ListParagraph"/>
        <w:numPr>
          <w:ilvl w:val="0"/>
          <w:numId w:val="13"/>
        </w:numPr>
        <w:bidi/>
        <w:spacing w:after="80" w:line="300"/>
      </w:pPr>
      <w:r>
        <w:rPr>
          <w:rFonts w:ascii="Arial" w:cs="Arial" w:eastAsia="Arial" w:hAnsi="Arial"/>
          <w:sz w:val="22"/>
          <w:szCs w:val="22"/>
          <w:rtl/>
        </w:rPr>
        <w:t xml:space="preserve">11.3 ב״כ הקונה ירשום את הזכויות על שם הקונה בתוך זמן סביר מקבלת כל האישורים.</w:t>
      </w:r>
    </w:p>
    <w:p>
      <w:pPr>
        <w:pStyle w:val="Heading1"/>
        <w:bidi/>
      </w:pPr>
      <w:r>
        <w:rPr>
          <w:rFonts w:ascii="Arial" w:cs="Arial" w:eastAsia="Arial" w:hAnsi="Arial"/>
          <w:b/>
          <w:bCs/>
          <w:sz w:val="32"/>
          <w:szCs w:val="32"/>
          <w:rtl/>
        </w:rPr>
        <w:t xml:space="preserve">12. ייפוי כוח בלתי חוזר</w:t>
      </w:r>
    </w:p>
    <w:p>
      <w:pPr>
        <w:pStyle w:val="ListParagraph"/>
        <w:numPr>
          <w:ilvl w:val="0"/>
          <w:numId w:val="14"/>
        </w:numPr>
        <w:bidi/>
        <w:spacing w:after="80" w:line="300"/>
      </w:pPr>
      <w:r>
        <w:rPr>
          <w:rFonts w:ascii="Arial" w:cs="Arial" w:eastAsia="Arial" w:hAnsi="Arial"/>
          <w:sz w:val="22"/>
          <w:szCs w:val="22"/>
          <w:rtl/>
        </w:rPr>
        <w:t xml:space="preserve">12.1 במעמד החתימה יחתמו המוכר והקונה על ייפוי כוח בלתי חוזר, בנוסח נספח ד, לטובת ב״כ הצדדים, </w:t>
      </w:r>
      <w:r>
        <w:rPr>
          <w:rFonts w:ascii="Arial" w:cs="Arial" w:eastAsia="Arial" w:hAnsi="Arial"/>
          <w:sz w:val="22"/>
          <w:szCs w:val="22"/>
          <w:shd w:fill="D9D9D9" w:color="auto" w:val="clear"/>
          <w:rtl/>
        </w:rPr>
        <w:t xml:space="preserve">[ביחד ולחוד]</w:t>
      </w:r>
      <w:r>
        <w:rPr>
          <w:rFonts w:ascii="Arial" w:cs="Arial" w:eastAsia="Arial" w:hAnsi="Arial"/>
          <w:sz w:val="22"/>
          <w:szCs w:val="22"/>
          <w:rtl/>
        </w:rPr>
        <w:t xml:space="preserve">, לביצוע הפעולות הדרושות לקיום חוזה זה ולרישומו.</w:t>
      </w:r>
    </w:p>
    <w:p>
      <w:pPr>
        <w:pStyle w:val="ListParagraph"/>
        <w:numPr>
          <w:ilvl w:val="0"/>
          <w:numId w:val="14"/>
        </w:numPr>
        <w:bidi/>
        <w:spacing w:after="80" w:line="300"/>
      </w:pPr>
      <w:r>
        <w:rPr>
          <w:rFonts w:ascii="Arial" w:cs="Arial" w:eastAsia="Arial" w:hAnsi="Arial"/>
          <w:sz w:val="22"/>
          <w:szCs w:val="22"/>
          <w:rtl/>
        </w:rPr>
        <w:t xml:space="preserve">12.2 ייפוי הכוח ניתן להבטחת זכויות הצד השני לפי חוזה זה, לרבות לפי סעיף 14(ב) לחוק השליחות, התשכ״ה-1965, ולכן אינו ניתן לביטול ואינו פוקע במותו של מי מהצדדים או באובדן כשירותו.</w:t>
      </w:r>
    </w:p>
    <w:p>
      <w:pPr>
        <w:pStyle w:val="ListParagraph"/>
        <w:numPr>
          <w:ilvl w:val="0"/>
          <w:numId w:val="14"/>
        </w:numPr>
        <w:bidi/>
        <w:spacing w:after="80" w:line="300"/>
      </w:pPr>
      <w:r>
        <w:rPr>
          <w:rFonts w:ascii="Arial" w:cs="Arial" w:eastAsia="Arial" w:hAnsi="Arial"/>
          <w:sz w:val="22"/>
          <w:szCs w:val="22"/>
          <w:rtl/>
        </w:rPr>
        <w:t xml:space="preserve">12.3 ב״כ הצדדים ישתמשו בייפוי הכוח רק לפי הוראות חוזה זה, ולא יחתמו מכוחו על מסמך שאינו תואם את החוזה.</w:t>
      </w:r>
    </w:p>
    <w:p>
      <w:pPr>
        <w:pStyle w:val="Heading1"/>
        <w:bidi/>
      </w:pPr>
      <w:r>
        <w:rPr>
          <w:rFonts w:ascii="Arial" w:cs="Arial" w:eastAsia="Arial" w:hAnsi="Arial"/>
          <w:b/>
          <w:bCs/>
          <w:sz w:val="32"/>
          <w:szCs w:val="32"/>
          <w:rtl/>
        </w:rPr>
        <w:t xml:space="preserve">13. הפרה ופיצויים מוסכמים</w:t>
      </w:r>
    </w:p>
    <w:p>
      <w:pPr>
        <w:pStyle w:val="ListParagraph"/>
        <w:numPr>
          <w:ilvl w:val="0"/>
          <w:numId w:val="15"/>
        </w:numPr>
        <w:bidi/>
        <w:spacing w:after="80" w:line="300"/>
      </w:pPr>
      <w:r>
        <w:rPr>
          <w:rFonts w:ascii="Arial" w:cs="Arial" w:eastAsia="Arial" w:hAnsi="Arial"/>
          <w:sz w:val="22"/>
          <w:szCs w:val="22"/>
          <w:rtl/>
        </w:rPr>
        <w:t xml:space="preserve">13.1 על החוזה יחולו הוראות חוק החוזים (תרופות בשל הפרת חוזה), התשל״א-1970.</w:t>
      </w:r>
    </w:p>
    <w:p>
      <w:pPr>
        <w:pStyle w:val="ListParagraph"/>
        <w:numPr>
          <w:ilvl w:val="0"/>
          <w:numId w:val="15"/>
        </w:numPr>
        <w:bidi/>
        <w:spacing w:after="80" w:line="300"/>
      </w:pPr>
      <w:r>
        <w:rPr>
          <w:rFonts w:ascii="Arial" w:cs="Arial" w:eastAsia="Arial" w:hAnsi="Arial"/>
          <w:sz w:val="22"/>
          <w:szCs w:val="22"/>
          <w:rtl/>
        </w:rPr>
        <w:t xml:space="preserve">13.2 סעיפים </w:t>
      </w:r>
      <w:r>
        <w:rPr>
          <w:rFonts w:ascii="Arial" w:cs="Arial" w:eastAsia="Arial" w:hAnsi="Arial"/>
          <w:sz w:val="22"/>
          <w:szCs w:val="22"/>
          <w:shd w:fill="D9D9D9" w:color="auto" w:val="clear"/>
          <w:rtl/>
        </w:rPr>
        <w:t xml:space="preserve">[2, 3, 5, 7, 8, 9, 10 ו-11]</w:t>
      </w:r>
      <w:r>
        <w:rPr>
          <w:rFonts w:ascii="Arial" w:cs="Arial" w:eastAsia="Arial" w:hAnsi="Arial"/>
          <w:sz w:val="22"/>
          <w:szCs w:val="22"/>
          <w:rtl/>
        </w:rPr>
        <w:t xml:space="preserve"> הם סעיפים יסודיים, והפרתם הפרה יסודית.</w:t>
      </w:r>
    </w:p>
    <w:p>
      <w:pPr>
        <w:pStyle w:val="ListParagraph"/>
        <w:numPr>
          <w:ilvl w:val="0"/>
          <w:numId w:val="15"/>
        </w:numPr>
        <w:bidi/>
        <w:spacing w:after="80" w:line="300"/>
      </w:pPr>
      <w:r>
        <w:rPr>
          <w:rFonts w:ascii="Arial" w:cs="Arial" w:eastAsia="Arial" w:hAnsi="Arial"/>
          <w:sz w:val="22"/>
          <w:szCs w:val="22"/>
          <w:rtl/>
        </w:rPr>
        <w:t xml:space="preserve">13.3 הפר צד את החוזה הפרה יסודית, ישלם לצד הנפגע פיצוי מוסכם ומוערך מראש בסך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מהתמורה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צמוד למדד המחירים לצרכן מיום החתימה. הפיצוי המוסכם בא במקום פיצוי בגין נזק בפועל, ואינו שולל את זכות הצד הנפגע לאכוף את החוזה או לבטלו כדין. </w:t>
      </w:r>
      <w:r>
        <w:rPr>
          <w:rFonts w:ascii="Arial" w:cs="Arial" w:eastAsia="Arial" w:hAnsi="Arial"/>
          <w:sz w:val="22"/>
          <w:szCs w:val="22"/>
          <w:shd w:fill="D9D9D9" w:color="auto" w:val="clear"/>
          <w:rtl/>
        </w:rPr>
        <w:t xml:space="preserve">[אופציונלי: הצד הנפגע רשאי לבחור לתבוע, במקום הפיצוי המוסכם, פיצוי על נזק שהוכח: כן / לא.]</w:t>
      </w:r>
    </w:p>
    <w:p>
      <w:pPr>
        <w:pStyle w:val="ListParagraph"/>
        <w:numPr>
          <w:ilvl w:val="0"/>
          <w:numId w:val="15"/>
        </w:numPr>
        <w:bidi/>
        <w:spacing w:after="80" w:line="300"/>
      </w:pPr>
      <w:r>
        <w:rPr>
          <w:rFonts w:ascii="Arial" w:cs="Arial" w:eastAsia="Arial" w:hAnsi="Arial"/>
          <w:sz w:val="22"/>
          <w:szCs w:val="22"/>
          <w:rtl/>
        </w:rPr>
        <w:t xml:space="preserve">13.4 לפני ביטול בשל הפרה, ימסור הצד הנפגע לצד המפר התראה בכתב ויאפשר לו לתקן את ההפרה בתוך </w:t>
      </w:r>
      <w:r>
        <w:rPr>
          <w:rFonts w:ascii="Arial" w:cs="Arial" w:eastAsia="Arial" w:hAnsi="Arial"/>
          <w:sz w:val="22"/>
          <w:szCs w:val="22"/>
          <w:shd w:fill="D9D9D9" w:color="auto" w:val="clear"/>
          <w:rtl/>
        </w:rPr>
        <w:t xml:space="preserve">[7/14]</w:t>
      </w:r>
      <w:r>
        <w:rPr>
          <w:rFonts w:ascii="Arial" w:cs="Arial" w:eastAsia="Arial" w:hAnsi="Arial"/>
          <w:sz w:val="22"/>
          <w:szCs w:val="22"/>
          <w:rtl/>
        </w:rPr>
        <w:t xml:space="preserve"> ימים.</w:t>
      </w:r>
    </w:p>
    <w:p>
      <w:pPr>
        <w:pStyle w:val="ListParagraph"/>
        <w:numPr>
          <w:ilvl w:val="0"/>
          <w:numId w:val="15"/>
        </w:numPr>
        <w:bidi/>
        <w:spacing w:after="80" w:line="300"/>
      </w:pPr>
      <w:r>
        <w:rPr>
          <w:rFonts w:ascii="Arial" w:cs="Arial" w:eastAsia="Arial" w:hAnsi="Arial"/>
          <w:sz w:val="22"/>
          <w:szCs w:val="22"/>
          <w:rtl/>
        </w:rPr>
        <w:t xml:space="preserve">13.5 בוטל החוזה כדין, יחזיר המוכר לקונה את הכספים ששולמו בתוך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ימים, בקיזוז הפיצוי המוסכם אם הקונה הוא הצד המפר, והקונה ימחק את הערת האזהרה.</w:t>
      </w:r>
    </w:p>
    <w:p>
      <w:pPr>
        <w:pStyle w:val="Heading1"/>
        <w:bidi/>
      </w:pPr>
      <w:r>
        <w:rPr>
          <w:rFonts w:ascii="Arial" w:cs="Arial" w:eastAsia="Arial" w:hAnsi="Arial"/>
          <w:b/>
          <w:bCs/>
          <w:sz w:val="32"/>
          <w:szCs w:val="32"/>
          <w:rtl/>
        </w:rPr>
        <w:t xml:space="preserve">14. דמי תיווך</w:t>
      </w:r>
    </w:p>
    <w:p>
      <w:pPr>
        <w:pStyle w:val="ListParagraph"/>
        <w:numPr>
          <w:ilvl w:val="0"/>
          <w:numId w:val="16"/>
        </w:numPr>
        <w:bidi/>
        <w:spacing w:after="80" w:line="300"/>
      </w:pPr>
      <w:r>
        <w:rPr>
          <w:rFonts w:ascii="Arial" w:cs="Arial" w:eastAsia="Arial" w:hAnsi="Arial"/>
          <w:sz w:val="22"/>
          <w:szCs w:val="22"/>
          <w:rtl/>
        </w:rPr>
        <w:t xml:space="preserve">14.1 כל צד מצהיר כי </w:t>
      </w:r>
      <w:r>
        <w:rPr>
          <w:rFonts w:ascii="Arial" w:cs="Arial" w:eastAsia="Arial" w:hAnsi="Arial"/>
          <w:sz w:val="22"/>
          <w:szCs w:val="22"/>
          <w:shd w:fill="D9D9D9" w:color="auto" w:val="clear"/>
          <w:rtl/>
        </w:rPr>
        <w:t xml:space="preserve">[לא היה מתווך בעסקה / המתווך בעסקה הוא [שם המתווך]</w:t>
      </w:r>
      <w:r>
        <w:rPr>
          <w:rFonts w:ascii="Arial" w:cs="Arial" w:eastAsia="Arial" w:hAnsi="Arial"/>
          <w:sz w:val="22"/>
          <w:szCs w:val="22"/>
          <w:rtl/>
        </w:rPr>
        <w:t xml:space="preserve">, בעל רישיון מס׳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w:t>
      </w:r>
    </w:p>
    <w:p>
      <w:pPr>
        <w:pStyle w:val="ListParagraph"/>
        <w:numPr>
          <w:ilvl w:val="0"/>
          <w:numId w:val="16"/>
        </w:numPr>
        <w:bidi/>
        <w:spacing w:after="80" w:line="300"/>
      </w:pPr>
      <w:r>
        <w:rPr>
          <w:rFonts w:ascii="Arial" w:cs="Arial" w:eastAsia="Arial" w:hAnsi="Arial"/>
          <w:sz w:val="22"/>
          <w:szCs w:val="22"/>
          <w:rtl/>
        </w:rPr>
        <w:t xml:space="preserve">14.2 כל צד ישלם את דמי התיווך שהתחייב להם כלפי המתווך מטעמו בלבד, לפי הזמנת התיווך שחתם עליה, וישפה את הצד השני אם תוגש נגדו דרישה בעניין זה.</w:t>
      </w:r>
    </w:p>
    <w:p>
      <w:pPr>
        <w:pStyle w:val="Heading1"/>
        <w:bidi/>
      </w:pPr>
      <w:r>
        <w:rPr>
          <w:rFonts w:ascii="Arial" w:cs="Arial" w:eastAsia="Arial" w:hAnsi="Arial"/>
          <w:b/>
          <w:bCs/>
          <w:sz w:val="32"/>
          <w:szCs w:val="32"/>
          <w:rtl/>
        </w:rPr>
        <w:t xml:space="preserve">15. שונות</w:t>
      </w:r>
    </w:p>
    <w:p>
      <w:pPr>
        <w:pStyle w:val="ListParagraph"/>
        <w:numPr>
          <w:ilvl w:val="0"/>
          <w:numId w:val="17"/>
        </w:numPr>
        <w:bidi/>
        <w:spacing w:after="80" w:line="300"/>
      </w:pPr>
      <w:r>
        <w:rPr>
          <w:rFonts w:ascii="Arial" w:cs="Arial" w:eastAsia="Arial" w:hAnsi="Arial"/>
          <w:sz w:val="22"/>
          <w:szCs w:val="22"/>
          <w:rtl/>
        </w:rPr>
        <w:t xml:space="preserve">15.1 כל שינוי בחוזה, ויתור או ארכה יהיו בכתב ובחתימת שני הצדדים בלבד. שתיקה או ארכה לא ייחשבו ויתור.</w:t>
      </w:r>
    </w:p>
    <w:p>
      <w:pPr>
        <w:pStyle w:val="ListParagraph"/>
        <w:numPr>
          <w:ilvl w:val="0"/>
          <w:numId w:val="17"/>
        </w:numPr>
        <w:bidi/>
        <w:spacing w:after="80" w:line="300"/>
      </w:pPr>
      <w:r>
        <w:rPr>
          <w:rFonts w:ascii="Arial" w:cs="Arial" w:eastAsia="Arial" w:hAnsi="Arial"/>
          <w:sz w:val="22"/>
          <w:szCs w:val="22"/>
          <w:rtl/>
        </w:rPr>
        <w:t xml:space="preserve">15.2 כל צד מצהיר כי הוא מיוצג על ידי עורך דין מטעמו, וכי לא הוצע לו ולא נדרש ממנו להסתמך על עורך הדין של הצד השני.</w:t>
      </w:r>
    </w:p>
    <w:p>
      <w:pPr>
        <w:pStyle w:val="ListParagraph"/>
        <w:numPr>
          <w:ilvl w:val="0"/>
          <w:numId w:val="17"/>
        </w:numPr>
        <w:bidi/>
        <w:spacing w:after="80" w:line="300"/>
      </w:pPr>
      <w:r>
        <w:rPr>
          <w:rFonts w:ascii="Arial" w:cs="Arial" w:eastAsia="Arial" w:hAnsi="Arial"/>
          <w:sz w:val="22"/>
          <w:szCs w:val="22"/>
          <w:rtl/>
        </w:rPr>
        <w:t xml:space="preserve">15.3 מקום השיפוט הייחודי: בית המשפט המוסמך ב</w:t>
      </w:r>
      <w:r>
        <w:rPr>
          <w:rFonts w:ascii="Arial" w:cs="Arial" w:eastAsia="Arial" w:hAnsi="Arial"/>
          <w:sz w:val="22"/>
          <w:szCs w:val="22"/>
          <w:shd w:fill="D9D9D9" w:color="auto" w:val="clear"/>
          <w:rtl/>
        </w:rPr>
        <w:t xml:space="preserve">[עיר]</w:t>
      </w:r>
      <w:r>
        <w:rPr>
          <w:rFonts w:ascii="Arial" w:cs="Arial" w:eastAsia="Arial" w:hAnsi="Arial"/>
          <w:sz w:val="22"/>
          <w:szCs w:val="22"/>
          <w:rtl/>
        </w:rPr>
        <w:t xml:space="preserve">.</w:t>
      </w:r>
    </w:p>
    <w:p>
      <w:pPr>
        <w:pStyle w:val="ListParagraph"/>
        <w:numPr>
          <w:ilvl w:val="0"/>
          <w:numId w:val="17"/>
        </w:numPr>
        <w:bidi/>
        <w:spacing w:after="80" w:line="300"/>
      </w:pPr>
      <w:r>
        <w:rPr>
          <w:rFonts w:ascii="Arial" w:cs="Arial" w:eastAsia="Arial" w:hAnsi="Arial"/>
          <w:sz w:val="22"/>
          <w:szCs w:val="22"/>
          <w:rtl/>
        </w:rPr>
        <w:t xml:space="preserve">15.4 כתובות הצדדים להודעות הן כמפורט בכותרת החוזה ובכתובות הדוא״ל: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הודעה בדואר רשום תיחשב כמתקבלת 3 ימי עסקים לאחר המשלוח.</w:t>
      </w:r>
    </w:p>
    <w:p>
      <w:pPr>
        <w:pStyle w:val="ListParagraph"/>
        <w:numPr>
          <w:ilvl w:val="0"/>
          <w:numId w:val="17"/>
        </w:numPr>
        <w:bidi/>
        <w:spacing w:after="80" w:line="300"/>
      </w:pPr>
      <w:r>
        <w:rPr>
          <w:rFonts w:ascii="Arial" w:cs="Arial" w:eastAsia="Arial" w:hAnsi="Arial"/>
          <w:sz w:val="22"/>
          <w:szCs w:val="22"/>
          <w:rtl/>
        </w:rPr>
        <w:t xml:space="preserve">15.5 חוזה זה ייחתם בשני עותקים, ובנוסף ניתן לחתום עליו בחתימה אלקטרונית מאובטחת, אם הצדדים הסכימו לכך.</w:t>
      </w:r>
    </w:p>
    <w:p>
      <w:pPr>
        <w:pStyle w:val="Heading1"/>
        <w:bidi/>
      </w:pPr>
      <w:r>
        <w:rPr>
          <w:rFonts w:ascii="Arial" w:cs="Arial" w:eastAsia="Arial" w:hAnsi="Arial"/>
          <w:b/>
          <w:bCs/>
          <w:sz w:val="32"/>
          <w:szCs w:val="32"/>
          <w:rtl/>
        </w:rPr>
        <w:t xml:space="preserve">חתימות</w:t>
      </w:r>
    </w:p>
    <w:p>
      <w:pPr>
        <w:bidi/>
        <w:spacing w:after="120" w:line="300"/>
      </w:pPr>
      <w:r>
        <w:rPr>
          <w:rFonts w:ascii="Arial" w:cs="Arial" w:eastAsia="Arial" w:hAnsi="Arial"/>
          <w:sz w:val="22"/>
          <w:szCs w:val="22"/>
          <w:rtl/>
        </w:rPr>
        <w:t xml:space="preserve">_____________ המוכר      _____________ הקונה</w:t>
      </w:r>
    </w:p>
    <w:p>
      <w:pPr>
        <w:bidi/>
        <w:spacing w:after="120" w:line="300"/>
      </w:pPr>
      <w:r>
        <w:rPr>
          <w:rFonts w:ascii="Arial" w:cs="Arial" w:eastAsia="Arial" w:hAnsi="Arial"/>
          <w:sz w:val="22"/>
          <w:szCs w:val="22"/>
          <w:rtl/>
        </w:rPr>
        <w:t xml:space="preserve">אני הח״מ, עו״ד </w:t>
      </w:r>
      <w:r>
        <w:rPr>
          <w:rFonts w:ascii="Arial" w:cs="Arial" w:eastAsia="Arial" w:hAnsi="Arial"/>
          <w:sz w:val="22"/>
          <w:szCs w:val="22"/>
          <w:shd w:fill="D9D9D9" w:color="auto" w:val="clear"/>
          <w:rtl/>
        </w:rPr>
        <w:t xml:space="preserve">[שם]</w:t>
      </w:r>
      <w:r>
        <w:rPr>
          <w:rFonts w:ascii="Arial" w:cs="Arial" w:eastAsia="Arial" w:hAnsi="Arial"/>
          <w:sz w:val="22"/>
          <w:szCs w:val="22"/>
          <w:rtl/>
        </w:rPr>
        <w:t xml:space="preserve">, מאשר כי הסברתי למרשי את תוכן החוזה ומשמעותו, וכי חתם עליו בפניי.</w:t>
      </w:r>
    </w:p>
    <w:p>
      <w:pPr>
        <w:pStyle w:val="Heading1"/>
        <w:bidi/>
      </w:pPr>
      <w:r>
        <w:rPr>
          <w:rFonts w:ascii="Arial" w:cs="Arial" w:eastAsia="Arial" w:hAnsi="Arial"/>
          <w:b/>
          <w:bCs/>
          <w:sz w:val="32"/>
          <w:szCs w:val="32"/>
          <w:rtl/>
        </w:rPr>
        <w:t xml:space="preserve">רשימת נספחים</w:t>
      </w:r>
    </w:p>
    <w:p>
      <w:pPr>
        <w:pStyle w:val="ListParagraph"/>
        <w:numPr>
          <w:ilvl w:val="0"/>
          <w:numId w:val="18"/>
        </w:numPr>
        <w:bidi/>
        <w:spacing w:after="80" w:line="300"/>
      </w:pPr>
      <w:r>
        <w:rPr>
          <w:rFonts w:ascii="Arial" w:cs="Arial" w:eastAsia="Arial" w:hAnsi="Arial"/>
          <w:sz w:val="22"/>
          <w:szCs w:val="22"/>
          <w:rtl/>
        </w:rPr>
        <w:t xml:space="preserve">נספח א: נסח רישום עדכני (או אישור זכויות מחברה משכנת / רשות מקרקעי ישראל).</w:t>
      </w:r>
    </w:p>
    <w:p>
      <w:pPr>
        <w:pStyle w:val="ListParagraph"/>
        <w:numPr>
          <w:ilvl w:val="0"/>
          <w:numId w:val="18"/>
        </w:numPr>
        <w:bidi/>
        <w:spacing w:after="80" w:line="300"/>
      </w:pPr>
      <w:r>
        <w:rPr>
          <w:rFonts w:ascii="Arial" w:cs="Arial" w:eastAsia="Arial" w:hAnsi="Arial"/>
          <w:sz w:val="22"/>
          <w:szCs w:val="22"/>
          <w:rtl/>
        </w:rPr>
        <w:t xml:space="preserve">נספח ב: תשריט הבית המשותף והצמדות.</w:t>
      </w:r>
    </w:p>
    <w:p>
      <w:pPr>
        <w:pStyle w:val="ListParagraph"/>
        <w:numPr>
          <w:ilvl w:val="0"/>
          <w:numId w:val="18"/>
        </w:numPr>
        <w:bidi/>
        <w:spacing w:after="80" w:line="300"/>
      </w:pPr>
      <w:r>
        <w:rPr>
          <w:rFonts w:ascii="Arial" w:cs="Arial" w:eastAsia="Arial" w:hAnsi="Arial"/>
          <w:sz w:val="22"/>
          <w:szCs w:val="22"/>
          <w:rtl/>
        </w:rPr>
        <w:t xml:space="preserve">נספח ג: רשימת מטלטלין הנמכרים עם הדירה.</w:t>
      </w:r>
    </w:p>
    <w:p>
      <w:pPr>
        <w:pStyle w:val="ListParagraph"/>
        <w:numPr>
          <w:ilvl w:val="0"/>
          <w:numId w:val="18"/>
        </w:numPr>
        <w:bidi/>
        <w:spacing w:after="80" w:line="300"/>
      </w:pPr>
      <w:r>
        <w:rPr>
          <w:rFonts w:ascii="Arial" w:cs="Arial" w:eastAsia="Arial" w:hAnsi="Arial"/>
          <w:sz w:val="22"/>
          <w:szCs w:val="22"/>
          <w:rtl/>
        </w:rPr>
        <w:t xml:space="preserve">נספח ד: ייפוי כוח בלתי חוזר של המוכר ושל הקונה.</w:t>
      </w:r>
    </w:p>
    <w:p>
      <w:pPr>
        <w:pStyle w:val="ListParagraph"/>
        <w:numPr>
          <w:ilvl w:val="0"/>
          <w:numId w:val="18"/>
        </w:numPr>
        <w:bidi/>
        <w:spacing w:after="80" w:line="300"/>
      </w:pPr>
      <w:r>
        <w:rPr>
          <w:rFonts w:ascii="Arial" w:cs="Arial" w:eastAsia="Arial" w:hAnsi="Arial"/>
          <w:sz w:val="22"/>
          <w:szCs w:val="22"/>
          <w:rtl/>
        </w:rPr>
        <w:t xml:space="preserve">נספח ה: בקשה לרישום הערת אזהרה ובקשה למחיקתה (בנאמנות).</w:t>
      </w:r>
    </w:p>
    <w:p>
      <w:pPr>
        <w:pStyle w:val="ListParagraph"/>
        <w:numPr>
          <w:ilvl w:val="0"/>
          <w:numId w:val="18"/>
        </w:numPr>
        <w:bidi/>
        <w:spacing w:after="80" w:line="300"/>
      </w:pPr>
      <w:r>
        <w:rPr>
          <w:rFonts w:ascii="Arial" w:cs="Arial" w:eastAsia="Arial" w:hAnsi="Arial"/>
          <w:sz w:val="22"/>
          <w:szCs w:val="22"/>
          <w:rtl/>
        </w:rPr>
        <w:t xml:space="preserve">נספח ו: מכתב כוונות/מכתב סילוק של הבנק המלווה של המוכר.</w:t>
      </w:r>
    </w:p>
    <w:p>
      <w:pPr>
        <w:pStyle w:val="ListParagraph"/>
        <w:numPr>
          <w:ilvl w:val="0"/>
          <w:numId w:val="18"/>
        </w:numPr>
        <w:bidi/>
        <w:spacing w:after="80" w:line="300"/>
      </w:pPr>
      <w:r>
        <w:rPr>
          <w:rFonts w:ascii="Arial" w:cs="Arial" w:eastAsia="Arial" w:hAnsi="Arial"/>
          <w:sz w:val="22"/>
          <w:szCs w:val="22"/>
          <w:rtl/>
        </w:rPr>
        <w:t xml:space="preserve">נספח ז: הצהרות גילוי של המוכר (ליקויים, היתרים, הליכים, התחדשות עירונית).</w:t>
      </w:r>
    </w:p>
    <w:p>
      <w:pPr>
        <w:pStyle w:val="ListParagraph"/>
        <w:numPr>
          <w:ilvl w:val="0"/>
          <w:numId w:val="18"/>
        </w:numPr>
        <w:bidi/>
        <w:spacing w:after="80" w:line="300"/>
      </w:pPr>
      <w:r>
        <w:rPr>
          <w:rFonts w:ascii="Arial" w:cs="Arial" w:eastAsia="Arial" w:hAnsi="Arial"/>
          <w:sz w:val="22"/>
          <w:szCs w:val="22"/>
          <w:rtl/>
        </w:rPr>
        <w:t xml:space="preserve">נספח ח: פרוטוקול מסירת חזקה (ייחתם במועד המסירה).</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11"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abstractNum w:abstractNumId="11" w15:restartNumberingAfterBreak="0">
    <w:multiLevelType w:val="hybridMultilevel"/>
    <w:lvl w:ilvl="0" w:tentative="1">
      <w:start w:val="1"/>
      <w:numFmt w:val="decimal"/>
      <w:lvlText w:val="%1."/>
      <w:lvlJc w:val="left"/>
      <w:pPr>
        <w:ind w:left="540" w:hanging="360"/>
      </w:pPr>
    </w:lvl>
  </w:abstractNum>
  <w:abstractNum w:abstractNumId="12" w15:restartNumberingAfterBreak="0">
    <w:multiLevelType w:val="hybridMultilevel"/>
    <w:lvl w:ilvl="0" w:tentative="1">
      <w:start w:val="1"/>
      <w:numFmt w:val="decimal"/>
      <w:lvlText w:val="%1."/>
      <w:lvlJc w:val="left"/>
      <w:pPr>
        <w:ind w:left="540" w:hanging="360"/>
      </w:pPr>
    </w:lvl>
  </w:abstractNum>
  <w:abstractNum w:abstractNumId="13" w15:restartNumberingAfterBreak="0">
    <w:multiLevelType w:val="hybridMultilevel"/>
    <w:lvl w:ilvl="0" w:tentative="1">
      <w:start w:val="1"/>
      <w:numFmt w:val="decimal"/>
      <w:lvlText w:val="%1."/>
      <w:lvlJc w:val="left"/>
      <w:pPr>
        <w:ind w:left="540" w:hanging="360"/>
      </w:pPr>
    </w:lvl>
  </w:abstractNum>
  <w:abstractNum w:abstractNumId="14" w15:restartNumberingAfterBreak="0">
    <w:multiLevelType w:val="hybridMultilevel"/>
    <w:lvl w:ilvl="0" w:tentative="1">
      <w:start w:val="1"/>
      <w:numFmt w:val="decimal"/>
      <w:lvlText w:val="%1."/>
      <w:lvlJc w:val="left"/>
      <w:pPr>
        <w:ind w:left="540" w:hanging="360"/>
      </w:pPr>
    </w:lvl>
  </w:abstractNum>
  <w:abstractNum w:abstractNumId="15" w15:restartNumberingAfterBreak="0">
    <w:multiLevelType w:val="hybridMultilevel"/>
    <w:lvl w:ilvl="0" w:tentative="1">
      <w:start w:val="1"/>
      <w:numFmt w:val="decimal"/>
      <w:lvlText w:val="%1."/>
      <w:lvlJc w:val="left"/>
      <w:pPr>
        <w:ind w:left="540" w:hanging="360"/>
      </w:pPr>
    </w:lvl>
  </w:abstractNum>
  <w:abstractNum w:abstractNumId="16" w15:restartNumberingAfterBreak="0">
    <w:multiLevelType w:val="hybridMultilevel"/>
    <w:lvl w:ilvl="0" w:tentative="1">
      <w:start w:val="1"/>
      <w:numFmt w:val="decimal"/>
      <w:lvlText w:val="%1."/>
      <w:lvlJc w:val="left"/>
      <w:pPr>
        <w:ind w:left="540" w:hanging="360"/>
      </w:pPr>
    </w:lvl>
  </w:abstractNum>
  <w:abstractNum w:abstractNumId="17" w15:restartNumberingAfterBreak="0">
    <w:multiLevelType w:val="hybridMultilevel"/>
    <w:lvl w:ilvl="0" w:tentative="1">
      <w:start w:val="1"/>
      <w:numFmt w:val="decimal"/>
      <w:lvlText w:val="%1."/>
      <w:lvlJc w:val="left"/>
      <w:pPr>
        <w:ind w:left="540" w:hanging="360"/>
      </w:pPr>
    </w:lvl>
  </w:abstractNum>
  <w:abstractNum w:abstractNumId="18"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חוזה מכר דירה יד שנייה לדוגמה</dc:title>
  <dc:creator>partouche-law.com</dc:creator>
  <cp:lastModifiedBy>Un-named</cp:lastModifiedBy>
  <cp:revision>1</cp:revision>
  <dcterms:created xsi:type="dcterms:W3CDTF">2026-11-04T11:45:42.263Z</dcterms:created>
  <dcterms:modified xsi:type="dcterms:W3CDTF">2026-11-04T11:45:42.263Z</dcterms:modified>
</cp:coreProperties>
</file>

<file path=docProps/custom.xml><?xml version="1.0" encoding="utf-8"?>
<Properties xmlns="http://schemas.openxmlformats.org/officeDocument/2006/custom-properties" xmlns:vt="http://schemas.openxmlformats.org/officeDocument/2006/docPropsVTypes"/>
</file>