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</w:pPr>
      <w:r>
        <w:rPr>
          <w:rFonts w:ascii="Arial" w:cs="Arial" w:eastAsia="Arial" w:hAnsi="Arial"/>
          <w:b/>
          <w:bCs/>
          <w:color w:val="1F3864"/>
          <w:sz w:val="44"/>
          <w:szCs w:val="44"/>
          <w:rtl/>
        </w:rPr>
        <w:t xml:space="preserve">חוזה מכר דירה סעיף אחר סעיף: מה לבדוק בכל סעיף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מה לבדוק בכל סעיף בחוזה מכר דירה: טבלת בדיקה לקונה ולמוכר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מסמך זה הוא דוגמה כללית בלבד ואינו מהווה ייעוץ משפטי. כל עסקה שונה, ואין חוזה סטנדרטי שמתאים לכל דירה; אין לחתום על מסמך משפטי ללא בדיקה של עורך דין. הוכן על ידי משרד עו״ד חיים פרטוש (מ״ר 63935) לצורכי הסבר בלבד.</w:t>
      </w:r>
    </w:p>
    <w:p>
      <w:pPr>
        <w:bidi/>
        <w:spacing w:after="120" w:line="300"/>
      </w:pPr>
      <w:r>
        <w:rPr>
          <w:rFonts w:ascii="Arial" w:cs="Arial" w:eastAsia="Arial" w:hAnsi="Arial"/>
          <w:sz w:val="22"/>
          <w:szCs w:val="22"/>
          <w:rtl/>
        </w:rPr>
        <w:t xml:space="preserve">הדפיסו את הטבלה והביאו אותה לפגישה עם עורך הדין. סמנו V בכל שורה שנבדקה.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הטבלה (סעיף | בחוזה לדוגמה | הקונה בודק | המוכר בודק)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1. תיאור הנכס וההצמדות | בחוזה לדוגמה: ס׳ 2 | קונה: שהגוש, החלקה ותת החלקה תואמים לנסח עדכני; שהחניה והמחסן רשומים או מתוארים במפורש עם מקור הזכות | מוכר: שהתיאור לא מבטיח שטח או הצמדה שאינם רשומים; לצרף תשריט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2. הצהרות המוכר ו-"As Is" | בחוזה לדוגמה: ס׳ 3 ונספח ז | קונה: הצהרות מפורטות על שעבודים, הליכים, חריגות בנייה, רטיבות והתחדשות עירונית; שסעיף "As Is" לא מוחק את חובת הגילוי | מוכר: לגלות בכתב כל מה שידוע, כדי שלא תהיה טענה של הסתרה; לנסח את "As Is" ביחד עם הגילוי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3. התמורה והצמדה | בחוזה לדוגמה: ס׳ 5.1, 5.5 | קונה: סכום במספרים ובמילים; מה כלול (מטלטלין); אם יש הצמדה ולאיזה מדד | מוכר: מנגנון הצמדה או ריבית על איחור; מה קורה בשינוי מחירים עד המסירה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4. לוח התשלומים מול המשכנתא | בחוזה לדוגמה: ס׳ 5.2-5.4, 6.1-6.2 | קונה: שמועדי התשלום מתאימים לזמן השחרור של הבנק; ארכה לעיכוב של הבנק | מוכר: ששיעור משמעותי משולם מוקדם; שאיחור מעבר לימי החסד הוא הפרה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5. סילוק המשכנתא של המוכר | בחוזה לדוגמה: ס׳ 7 | קונה: תשלום ישיר לבנק המוכר לפי מכתב סילוק עדכני; התחייבות הבנק לביטול | מוכר: שתשלום לבנק נחשב תשלום על חשבון התמורה; שההפרש, אם יש, מוסדר מראש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6. הערת אזהרה | בחוזה לדוגמה: ס׳ 8 | קונה: רישום מיד אחרי החתימה ולפני תשלום משמעותי | מוכר: בקשת מחיקה חתומה בנאמנות, למקרה של ביטול כדין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7. מסירת החזקה ומצב הדירה | בחוזה לדוגמה: ס׳ 9 | קונה: תאריך מסירה ברור; דירה פנויה; פרוטוקול מסירה; סכום מעוכב עד המסירה | מוכר: שהמסירה מותנית בתשלום מלא; ימי חסד מוגדרים; מגורים זמניים אם צריך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8. מסים והיטלים | בחוזה לדוגמה: ס׳ 10 | קונה: מי משלם מס רכישה, מס שבח, היטל השבחה, ארנונה וועד בית; מה עם תוכניות שבהליך | מוכר: תחשיב מס שבח והיטל השבחה לפני החתימה; כיסוי היטל על תוכניות עתידיות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9. כספים בנאמנות | בחוזה לדוגמה: ס׳ 5.2, 5.6 | קונה: תשלום ראשון בנאמנות עד רישום הערת אזהרה; סכום מעוכב עד אישורי מסים ועירייה; מי הנאמן ומתי משחרר | מוכר: מועד שחרור קצר וברור; ריבית על הכסף בנאמנות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10. הפרה ופיצוי מוסכם | בחוזה לדוגמה: ס׳ 13 | קונה: פיצוי סביר והדדי; התראה ותקופת תיקון לפני ביטול | מוכר: אותו דבר; וגם הגדרה מה נחשב הפרה יסודית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11. תנאים מתלים וביטול | בחוזה לדוגמה: ס׳ 4.2, 6.4-6.6 | קונה: אם המשכנתא לא אושרה: האם אפשר לבטל, ובאיזה מחיר | מוכר: הגבלת תנאים מתלים; מועד אחרון ברור לקיומם</w:t>
      </w:r>
    </w:p>
    <w:p>
      <w:pPr>
        <w:pStyle w:val="ListParagraph"/>
        <w:numPr>
          <w:ilvl w:val="0"/>
          <w:numId w:val="2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12. ייפוי כוח, רישום ודמי תיווך | בחוזה לדוגמה: ס׳ 11, 12, 14 | קונה: ייפוי כוח בלתי חוזר שמוגבל לביצוע החוזה; רישום בזמן סביר; כל צד משלם למתווך שלו | מוכר: אותו דבר; שייפוי הכוח לא מאפשר פעולה שאינה בחוזה</w:t>
      </w:r>
    </w:p>
    <w:p>
      <w:pPr>
        <w:pStyle w:val="Heading1"/>
        <w:bidi/>
      </w:pPr>
      <w:r>
        <w:rPr>
          <w:rFonts w:ascii="Arial" w:cs="Arial" w:eastAsia="Arial" w:hAnsi="Arial"/>
          <w:b/>
          <w:bCs/>
          <w:sz w:val="32"/>
          <w:szCs w:val="32"/>
          <w:rtl/>
        </w:rPr>
        <w:t xml:space="preserve">לפני שחותמים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נסח רישום עדכני מהימים האחרונים לפני החתימה.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אישור עקרוני מהבנק המממן (קונה) ומכתב יתרת חוב (מוכר).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תחשיב מס רכישה (קונה) ותחשיב מס שבח והיטל השבחה (מוכר).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בדיקה בתיק הבניין ברשות המקומית: היתרים, חריגות, תוכניות.</w:t>
      </w:r>
    </w:p>
    <w:p>
      <w:pPr>
        <w:pStyle w:val="ListParagraph"/>
        <w:numPr>
          <w:ilvl w:val="0"/>
          <w:numId w:val="3"/>
        </w:numPr>
        <w:bidi/>
        <w:spacing w:after="80" w:line="300"/>
      </w:pPr>
      <w:r>
        <w:rPr>
          <w:rFonts w:ascii="Arial" w:cs="Arial" w:eastAsia="Arial" w:hAnsi="Arial"/>
          <w:sz w:val="22"/>
          <w:szCs w:val="22"/>
          <w:rtl/>
        </w:rPr>
        <w:t xml:space="preserve">כל צד מיוצג על ידי עורך דין מטעמו.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666666"/>
        <w:sz w:val="16"/>
        <w:szCs w:val="16"/>
        <w:rtl/>
      </w:rPr>
      <w:t xml:space="preserve">partouche-law.com | עו״ד חיים פרטוש, מ״ר 63935 | 077-805-4838</w:t>
    </w:r>
    <w:r>
      <w:rPr>
        <w:rFonts w:ascii="Arial" w:cs="Arial" w:eastAsia="Arial" w:hAnsi="Arial"/>
        <w:color w:val="666666"/>
        <w:sz w:val="16"/>
        <w:szCs w:val="16"/>
        <w:rtl/>
      </w:rPr>
      <w:t xml:space="preserve">  |  עמוד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PAGE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  <w:r>
      <w:rPr>
        <w:rFonts w:ascii="Arial" w:cs="Arial" w:eastAsia="Arial" w:hAnsi="Arial"/>
        <w:color w:val="666666"/>
        <w:sz w:val="16"/>
        <w:szCs w:val="16"/>
        <w:rtl/>
      </w:rPr>
      <w:t xml:space="preserve"> מתוך </w:t>
    </w:r>
    <w:r>
      <w:rPr>
        <w:rFonts w:ascii="Arial" w:cs="Arial" w:eastAsia="Arial" w:hAnsi="Arial"/>
        <w:color w:val="666666"/>
        <w:sz w:val="16"/>
        <w:szCs w:val="16"/>
        <w:rtl/>
      </w:rPr>
      <w:fldChar w:fldCharType="begin"/>
    </w:r>
    <w:r>
      <w:rPr>
        <w:rFonts w:ascii="Arial" w:cs="Arial" w:eastAsia="Arial" w:hAnsi="Arial"/>
        <w:color w:val="666666"/>
        <w:sz w:val="16"/>
        <w:szCs w:val="16"/>
        <w:rtl/>
      </w:rPr>
      <w:instrText xml:space="preserve">NUMPAGES</w:instrText>
    </w:r>
    <w:r>
      <w:rPr>
        <w:rFonts w:ascii="Arial" w:cs="Arial" w:eastAsia="Arial" w:hAnsi="Arial"/>
        <w:color w:val="666666"/>
        <w:sz w:val="16"/>
        <w:szCs w:val="16"/>
        <w:rtl/>
      </w:rPr>
      <w:fldChar w:fldCharType="separate"/>
    </w:r>
    <w:r>
      <w:rPr>
        <w:rFonts w:ascii="Arial" w:cs="Arial" w:eastAsia="Arial" w:hAnsi="Arial"/>
        <w:color w:val="666666"/>
        <w:sz w:val="16"/>
        <w:szCs w:val="16"/>
        <w:rtl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5400675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5400675" cy="5400675"/>
          <wp:effectExtent t="0" r="0" b="0" l="0"/>
          <wp:wrapNone/>
          <wp:docPr id="10" name="watermark" descr="עו״ד חיים פרטוש" title="סימן מ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540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Title">
    <w:name w:val="Title"/>
    <w:basedOn w:val="Normal"/>
    <w:next w:val="Normal"/>
    <w:pPr>
      <w:keepNext/>
      <w:spacing w:after="240" w:before="0"/>
    </w:pPr>
    <w:rPr>
      <w:rFonts w:ascii="Arial" w:cs="Arial" w:eastAsia="Arial" w:hAnsi="Arial"/>
      <w:b/>
      <w:bCs/>
      <w:color w:val="1F386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60" w:before="360"/>
      <w:outlineLvl w:val="0"/>
    </w:pPr>
    <w:rPr>
      <w:rFonts w:ascii="Arial" w:cs="Arial" w:eastAsia="Arial" w:hAnsi="Arial"/>
      <w:b/>
      <w:bCs/>
      <w:color w:val="1F386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חוזה מכר דירה סעיף אחר סעיף: מה לבדוק בכל סעיף</dc:title>
  <dc:creator>partouche-law.com</dc:creator>
  <cp:lastModifiedBy>Un-named</cp:lastModifiedBy>
  <cp:revision>1</cp:revision>
  <dcterms:created xsi:type="dcterms:W3CDTF">2026-11-04T11:45:42.253Z</dcterms:created>
  <dcterms:modified xsi:type="dcterms:W3CDTF">2026-11-04T11:45:42.253Z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