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זיכרון דברים בעסקת דירה: דוגמה וחלופה לא מחייבת</w:t>
      </w:r>
    </w:p>
    <w:p>
      <w:pPr>
        <w:pStyle w:val="Heading1"/>
        <w:bidi/>
      </w:pPr>
      <w:r>
        <w:rPr>
          <w:rFonts w:ascii="Arial" w:cs="Arial" w:eastAsia="Arial" w:hAnsi="Arial"/>
          <w:b/>
          <w:bCs/>
          <w:sz w:val="32"/>
          <w:szCs w:val="32"/>
          <w:rtl/>
        </w:rPr>
        <w:t xml:space="preserve">זיכרון דברים בעסקת דירה: מה הופך אותו למחייב, ומכתב כוונות לא מחייב כחלופה</w:t>
      </w:r>
    </w:p>
    <w:p>
      <w:pPr>
        <w:bidi/>
        <w:spacing w:after="120" w:line="300"/>
      </w:pPr>
      <w:r>
        <w:rPr>
          <w:rFonts w:ascii="Arial" w:cs="Arial" w:eastAsia="Arial" w:hAnsi="Arial"/>
          <w:sz w:val="22"/>
          <w:szCs w:val="22"/>
          <w:rtl/>
        </w:rPr>
        <w:t xml:space="preserve">מסמך זה הוא דוגמה כללית בלבד ואינו מהווה ייעוץ משפטי. כל עסקה שונה, ואין חוזה סטנדרטי שמתאים לכל דירה; אין לחתום על מסמך משפטי ללא בדיקה של עורך דין. הוכן על ידי משרד עו״ד חיים פרטוש (מ״ר 63935) לצורכי הסבר בלבד.</w:t>
      </w:r>
    </w:p>
    <w:p>
      <w:pPr>
        <w:bidi/>
        <w:spacing w:after="120" w:line="300"/>
      </w:pPr>
      <w:r>
        <w:rPr>
          <w:rFonts w:ascii="Arial" w:cs="Arial" w:eastAsia="Arial" w:hAnsi="Arial"/>
          <w:sz w:val="22"/>
          <w:szCs w:val="22"/>
          <w:rtl/>
        </w:rPr>
        <w:t xml:space="preserve">המסמך כולל שני חלקים. חלק א אינו נוסח למילוי או לחתימה: הוא מציג, להמחשה בלבד, את הסעיפים שהופכים זיכרון דברים לחוזה מחייב, כדי שתזהו אחד כזה כשמגישים לכם אותו. ההמלצה היא לא לחתום על זיכרון דברים בלי עורך דין. חלק ב הוא חלופה בטוחה יותר: מכתב כוונות שאינו מחייב לעסקה.</w:t>
      </w:r>
    </w:p>
    <w:p>
      <w:pPr>
        <w:pStyle w:val="Heading1"/>
        <w:bidi/>
      </w:pPr>
      <w:r>
        <w:rPr>
          <w:rFonts w:ascii="Arial" w:cs="Arial" w:eastAsia="Arial" w:hAnsi="Arial"/>
          <w:b/>
          <w:bCs/>
          <w:sz w:val="32"/>
          <w:szCs w:val="32"/>
          <w:rtl/>
        </w:rPr>
        <w:t xml:space="preserve">חלק א: אנטומיה של זיכרון דברים מחייב (להמחשה בלבד, לא לחתימה)</w:t>
      </w:r>
    </w:p>
    <w:p>
      <w:pPr>
        <w:bidi/>
        <w:spacing w:after="120" w:line="300"/>
      </w:pPr>
      <w:r>
        <w:rPr>
          <w:rFonts w:ascii="Arial" w:cs="Arial" w:eastAsia="Arial" w:hAnsi="Arial"/>
          <w:sz w:val="22"/>
          <w:szCs w:val="22"/>
          <w:rtl/>
        </w:rPr>
        <w:t xml:space="preserve">להמחשה בלבד, לא לחתימה. זהו אינו נוסח למילוי: אין בו מקומות להשלמה ואין בו שורת חתימה. לצד כל סעיף מוסבר מה בו עלול להפוך את המסמך לחוזה מחייב.</w:t>
      </w:r>
    </w:p>
    <w:p>
      <w:pPr>
        <w:bidi/>
        <w:spacing w:after="120" w:line="300"/>
      </w:pPr>
      <w:r>
        <w:rPr>
          <w:rFonts w:ascii="Arial" w:cs="Arial" w:eastAsia="Arial" w:hAnsi="Arial"/>
          <w:sz w:val="22"/>
          <w:szCs w:val="22"/>
          <w:rtl/>
        </w:rPr>
        <w:t xml:space="preserve">שימו לב: מסמך בנוסח כזה עשוי להיחשב חוזה מכר מחייב לכל דבר, גם אם כותרתו "זיכרון דברים" וגם אם כתוב בו שייחתם חוזה מפורט בהמשך.</w:t>
      </w:r>
    </w:p>
    <w:p>
      <w:pPr>
        <w:pStyle w:val="ListParagraph"/>
        <w:numPr>
          <w:ilvl w:val="0"/>
          <w:numId w:val="2"/>
        </w:numPr>
        <w:bidi/>
        <w:spacing w:after="80" w:line="300"/>
      </w:pPr>
      <w:r>
        <w:rPr>
          <w:rFonts w:ascii="Arial" w:cs="Arial" w:eastAsia="Arial" w:hAnsi="Arial"/>
          <w:sz w:val="22"/>
          <w:szCs w:val="22"/>
          <w:rtl/>
        </w:rPr>
        <w:t xml:space="preserve">להמחשה בלבד. "המוכר מוכר לקונה, והקונה קונה מהמוכר, את הדירה ברחוב (כתובת), גוש (גוש) חלקה (חלקה) תת חלקה (תת חלקה), כולל (הצמדות)." מה מחייב כאן: זיהוי מלא של הצדדים ושל הנכס (מסוימות), בלשון הווה "מוכר" ו"קונה" (גמירת דעת).</w:t>
      </w:r>
    </w:p>
    <w:p>
      <w:pPr>
        <w:pStyle w:val="ListParagraph"/>
        <w:numPr>
          <w:ilvl w:val="0"/>
          <w:numId w:val="2"/>
        </w:numPr>
        <w:bidi/>
        <w:spacing w:after="80" w:line="300"/>
      </w:pPr>
      <w:r>
        <w:rPr>
          <w:rFonts w:ascii="Arial" w:cs="Arial" w:eastAsia="Arial" w:hAnsi="Arial"/>
          <w:sz w:val="22"/>
          <w:szCs w:val="22"/>
          <w:rtl/>
        </w:rPr>
        <w:t xml:space="preserve">להמחשה בלבד. "התמורה: (סכום) ש״ח, שתשולם במעמד חתימת החוזה המפורט, והיתרה עד המסירה." מה מחייב כאן: מחיר ותנאי תשלום הם מהפרטים המהותיים של העסקה.</w:t>
      </w:r>
    </w:p>
    <w:p>
      <w:pPr>
        <w:pStyle w:val="ListParagraph"/>
        <w:numPr>
          <w:ilvl w:val="0"/>
          <w:numId w:val="2"/>
        </w:numPr>
        <w:bidi/>
        <w:spacing w:after="80" w:line="300"/>
      </w:pPr>
      <w:r>
        <w:rPr>
          <w:rFonts w:ascii="Arial" w:cs="Arial" w:eastAsia="Arial" w:hAnsi="Arial"/>
          <w:sz w:val="22"/>
          <w:szCs w:val="22"/>
          <w:rtl/>
        </w:rPr>
        <w:t xml:space="preserve">להמחשה בלבד. "מועד מסירת החזקה: (תאריך)." מה מחייב כאן: מועד מסירה מוגדר מוסיף מסוימות.</w:t>
      </w:r>
    </w:p>
    <w:p>
      <w:pPr>
        <w:pStyle w:val="ListParagraph"/>
        <w:numPr>
          <w:ilvl w:val="0"/>
          <w:numId w:val="2"/>
        </w:numPr>
        <w:bidi/>
        <w:spacing w:after="80" w:line="300"/>
      </w:pPr>
      <w:r>
        <w:rPr>
          <w:rFonts w:ascii="Arial" w:cs="Arial" w:eastAsia="Arial" w:hAnsi="Arial"/>
          <w:sz w:val="22"/>
          <w:szCs w:val="22"/>
          <w:rtl/>
        </w:rPr>
        <w:t xml:space="preserve">להמחשה בלבד. "הדירה נמכרת כשהיא נקייה מכל חוב, שעבוד וזכות צד ג׳, למעט משכנתא שתסולק מתוך התמורה." מה מחייב כאן: התחייבות של המוכר למצב הזכויות, כמו בחוזה מלא.</w:t>
      </w:r>
    </w:p>
    <w:p>
      <w:pPr>
        <w:pStyle w:val="ListParagraph"/>
        <w:numPr>
          <w:ilvl w:val="0"/>
          <w:numId w:val="2"/>
        </w:numPr>
        <w:bidi/>
        <w:spacing w:after="80" w:line="300"/>
      </w:pPr>
      <w:r>
        <w:rPr>
          <w:rFonts w:ascii="Arial" w:cs="Arial" w:eastAsia="Arial" w:hAnsi="Arial"/>
          <w:sz w:val="22"/>
          <w:szCs w:val="22"/>
          <w:rtl/>
        </w:rPr>
        <w:t xml:space="preserve">להמחשה בלבד. "הצדדים יחתמו על חוזה מפורט עד (תאריך)." מה מחייב כאן: הכוונה לחתום על חוזה מפורט בהמשך אינה מונעת, כשלעצמה, את המסקנה שהמסמך כבר מחייב; בית המשפט עשוי לראות בחוזה המפורט "פרטים טכניים" בלבד.</w:t>
      </w:r>
    </w:p>
    <w:p>
      <w:pPr>
        <w:pStyle w:val="ListParagraph"/>
        <w:numPr>
          <w:ilvl w:val="0"/>
          <w:numId w:val="2"/>
        </w:numPr>
        <w:bidi/>
        <w:spacing w:after="80" w:line="300"/>
      </w:pPr>
      <w:r>
        <w:rPr>
          <w:rFonts w:ascii="Arial" w:cs="Arial" w:eastAsia="Arial" w:hAnsi="Arial"/>
          <w:sz w:val="22"/>
          <w:szCs w:val="22"/>
          <w:rtl/>
        </w:rPr>
        <w:t xml:space="preserve">להמחשה בלבד. "הקונה מעביר במעמד החתימה מקדמה בסך (סכום) ש״ח." מה מחייב כאן: העברת כסף היא סימן חזק לכוונה להתחייב, ומקדמה שעברה ישירות לצד השני קשה להחזיר.</w:t>
      </w:r>
    </w:p>
    <w:p>
      <w:pPr>
        <w:pStyle w:val="ListParagraph"/>
        <w:numPr>
          <w:ilvl w:val="0"/>
          <w:numId w:val="2"/>
        </w:numPr>
        <w:bidi/>
        <w:spacing w:after="80" w:line="300"/>
      </w:pPr>
      <w:r>
        <w:rPr>
          <w:rFonts w:ascii="Arial" w:cs="Arial" w:eastAsia="Arial" w:hAnsi="Arial"/>
          <w:sz w:val="22"/>
          <w:szCs w:val="22"/>
          <w:rtl/>
        </w:rPr>
        <w:t xml:space="preserve">להמחשה בלבד. "צד שיחזור בו ישלם לצד השני פיצוי מוסכם של (סכום) ש״ח." מה מחייב כאן: סעיף פיצוי על חזרה מעיד שהצדדים ראו את עצמם מחויבים.</w:t>
      </w:r>
    </w:p>
    <w:p>
      <w:pPr>
        <w:pStyle w:val="Heading1"/>
        <w:bidi/>
      </w:pPr>
      <w:r>
        <w:rPr>
          <w:rFonts w:ascii="Arial" w:cs="Arial" w:eastAsia="Arial" w:hAnsi="Arial"/>
          <w:b/>
          <w:bCs/>
          <w:sz w:val="32"/>
          <w:szCs w:val="32"/>
          <w:rtl/>
        </w:rPr>
        <w:t xml:space="preserve">למה חלק א עלול לחייב אתכם</w:t>
      </w:r>
    </w:p>
    <w:p>
      <w:pPr>
        <w:pStyle w:val="ListParagraph"/>
        <w:numPr>
          <w:ilvl w:val="0"/>
          <w:numId w:val="3"/>
        </w:numPr>
        <w:bidi/>
        <w:spacing w:after="80" w:line="300"/>
      </w:pPr>
      <w:r>
        <w:rPr>
          <w:rFonts w:ascii="Arial" w:cs="Arial" w:eastAsia="Arial" w:hAnsi="Arial"/>
          <w:sz w:val="22"/>
          <w:szCs w:val="22"/>
          <w:rtl/>
        </w:rPr>
        <w:t xml:space="preserve">יש בו את הפרטים המהותיים של עסקה: מי מוכר, מה נמכר, מחיר, מועד מסירה ותנאי תשלום (מסוימות).</w:t>
      </w:r>
    </w:p>
    <w:p>
      <w:pPr>
        <w:pStyle w:val="ListParagraph"/>
        <w:numPr>
          <w:ilvl w:val="0"/>
          <w:numId w:val="3"/>
        </w:numPr>
        <w:bidi/>
        <w:spacing w:after="80" w:line="300"/>
      </w:pPr>
      <w:r>
        <w:rPr>
          <w:rFonts w:ascii="Arial" w:cs="Arial" w:eastAsia="Arial" w:hAnsi="Arial"/>
          <w:sz w:val="22"/>
          <w:szCs w:val="22"/>
          <w:rtl/>
        </w:rPr>
        <w:t xml:space="preserve">הניסוח "מוכר" ו"קונה" בלשון הווה, מקדמה וסעיף פיצוי מעידים על כוונה להתחייב (גמירת דעת).</w:t>
      </w:r>
    </w:p>
    <w:p>
      <w:pPr>
        <w:pStyle w:val="ListParagraph"/>
        <w:numPr>
          <w:ilvl w:val="0"/>
          <w:numId w:val="3"/>
        </w:numPr>
        <w:bidi/>
        <w:spacing w:after="80" w:line="300"/>
      </w:pPr>
      <w:r>
        <w:rPr>
          <w:rFonts w:ascii="Arial" w:cs="Arial" w:eastAsia="Arial" w:hAnsi="Arial"/>
          <w:sz w:val="22"/>
          <w:szCs w:val="22"/>
          <w:rtl/>
        </w:rPr>
        <w:t xml:space="preserve">הוא בכתב וחתום, ולכן עשוי לקיים את דרישת הכתב שבסעיף 8 לחוק המקרקעין, התשכ״ט-1969.</w:t>
      </w:r>
    </w:p>
    <w:p>
      <w:pPr>
        <w:pStyle w:val="ListParagraph"/>
        <w:numPr>
          <w:ilvl w:val="0"/>
          <w:numId w:val="3"/>
        </w:numPr>
        <w:bidi/>
        <w:spacing w:after="80" w:line="300"/>
      </w:pPr>
      <w:r>
        <w:rPr>
          <w:rFonts w:ascii="Arial" w:cs="Arial" w:eastAsia="Arial" w:hAnsi="Arial"/>
          <w:sz w:val="22"/>
          <w:szCs w:val="22"/>
          <w:rtl/>
        </w:rPr>
        <w:t xml:space="preserve">משמעות: אם צד ירצה לסגת, הצד השני עשוי לתבוע אכיפה או פיצוי; ואם המוכר חתם בינתיים עם קונה אחר, תיתכן התנגשות של עסקאות נוגדות.</w:t>
      </w:r>
    </w:p>
    <w:p>
      <w:pPr>
        <w:pStyle w:val="Heading1"/>
        <w:bidi/>
      </w:pPr>
      <w:r>
        <w:rPr>
          <w:rFonts w:ascii="Arial" w:cs="Arial" w:eastAsia="Arial" w:hAnsi="Arial"/>
          <w:b/>
          <w:bCs/>
          <w:sz w:val="32"/>
          <w:szCs w:val="32"/>
          <w:rtl/>
        </w:rPr>
        <w:t xml:space="preserve">חלק ב: מכתב כוונות שאינו מחייב (החלופה המומלצת)</w:t>
      </w:r>
    </w:p>
    <w:p>
      <w:pPr>
        <w:bidi/>
        <w:spacing w:after="120" w:line="300"/>
      </w:pPr>
      <w:r>
        <w:rPr>
          <w:rFonts w:ascii="Arial" w:cs="Arial" w:eastAsia="Arial" w:hAnsi="Arial"/>
          <w:sz w:val="22"/>
          <w:szCs w:val="22"/>
          <w:rtl/>
        </w:rPr>
        <w:t xml:space="preserve">מכתב כוונות לעסקת מקרקעין, שאינו מהווה חוזה ואינו מחייב</w:t>
      </w:r>
    </w:p>
    <w:p>
      <w:pPr>
        <w:bidi/>
        <w:spacing w:after="120" w:line="300"/>
      </w:pPr>
      <w:r>
        <w:rPr>
          <w:rFonts w:ascii="Arial" w:cs="Arial" w:eastAsia="Arial" w:hAnsi="Arial"/>
          <w:sz w:val="22"/>
          <w:szCs w:val="22"/>
          <w:rtl/>
        </w:rPr>
        <w:t xml:space="preserve">נערך ביום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בין </w:t>
      </w:r>
      <w:r>
        <w:rPr>
          <w:rFonts w:ascii="Arial" w:cs="Arial" w:eastAsia="Arial" w:hAnsi="Arial"/>
          <w:sz w:val="22"/>
          <w:szCs w:val="22"/>
          <w:shd w:fill="D9D9D9" w:color="auto" w:val="clear"/>
          <w:rtl/>
        </w:rPr>
        <w:t xml:space="preserve">[שם המוכר]</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לבין </w:t>
      </w:r>
      <w:r>
        <w:rPr>
          <w:rFonts w:ascii="Arial" w:cs="Arial" w:eastAsia="Arial" w:hAnsi="Arial"/>
          <w:sz w:val="22"/>
          <w:szCs w:val="22"/>
          <w:shd w:fill="D9D9D9" w:color="auto" w:val="clear"/>
          <w:rtl/>
        </w:rPr>
        <w:t xml:space="preserve">[שם הקונה]</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1. הצדדים מנהלים משא ומתן לגבי מכירה אפשרית של הדירה ברחוב </w:t>
      </w:r>
      <w:r>
        <w:rPr>
          <w:rFonts w:ascii="Arial" w:cs="Arial" w:eastAsia="Arial" w:hAnsi="Arial"/>
          <w:sz w:val="22"/>
          <w:szCs w:val="22"/>
          <w:shd w:fill="D9D9D9" w:color="auto" w:val="clear"/>
          <w:rtl/>
        </w:rPr>
        <w:t xml:space="preserve">[כתובת]</w:t>
      </w:r>
      <w:r>
        <w:rPr>
          <w:rFonts w:ascii="Arial" w:cs="Arial" w:eastAsia="Arial" w:hAnsi="Arial"/>
          <w:sz w:val="22"/>
          <w:szCs w:val="22"/>
          <w:rtl/>
        </w:rPr>
        <w:t xml:space="preserve"> (גוש </w:t>
      </w:r>
      <w:r>
        <w:rPr>
          <w:rFonts w:ascii="Arial" w:cs="Arial" w:eastAsia="Arial" w:hAnsi="Arial"/>
          <w:sz w:val="22"/>
          <w:szCs w:val="22"/>
          <w:shd w:fill="D9D9D9" w:color="auto" w:val="clear"/>
          <w:rtl/>
        </w:rPr>
        <w:t xml:space="preserve">[גוש]</w:t>
      </w:r>
      <w:r>
        <w:rPr>
          <w:rFonts w:ascii="Arial" w:cs="Arial" w:eastAsia="Arial" w:hAnsi="Arial"/>
          <w:sz w:val="22"/>
          <w:szCs w:val="22"/>
          <w:rtl/>
        </w:rPr>
        <w:t xml:space="preserve"> חלקה </w:t>
      </w:r>
      <w:r>
        <w:rPr>
          <w:rFonts w:ascii="Arial" w:cs="Arial" w:eastAsia="Arial" w:hAnsi="Arial"/>
          <w:sz w:val="22"/>
          <w:szCs w:val="22"/>
          <w:shd w:fill="D9D9D9" w:color="auto" w:val="clear"/>
          <w:rtl/>
        </w:rPr>
        <w:t xml:space="preserve">[חלקה]</w:t>
      </w:r>
      <w:r>
        <w:rPr>
          <w:rFonts w:ascii="Arial" w:cs="Arial" w:eastAsia="Arial" w:hAnsi="Arial"/>
          <w:sz w:val="22"/>
          <w:szCs w:val="22"/>
          <w:rtl/>
        </w:rPr>
        <w:t xml:space="preserve"> תת חלקה </w:t>
      </w:r>
      <w:r>
        <w:rPr>
          <w:rFonts w:ascii="Arial" w:cs="Arial" w:eastAsia="Arial" w:hAnsi="Arial"/>
          <w:sz w:val="22"/>
          <w:szCs w:val="22"/>
          <w:shd w:fill="D9D9D9" w:color="auto" w:val="clear"/>
          <w:rtl/>
        </w:rPr>
        <w:t xml:space="preserve">[תת חלקה]</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2. נכון למועד זה, הצדדים דנים במחיר של כ-</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ש״ח ובמועד מסירה משוער של </w:t>
      </w:r>
      <w:r>
        <w:rPr>
          <w:rFonts w:ascii="Arial" w:cs="Arial" w:eastAsia="Arial" w:hAnsi="Arial"/>
          <w:sz w:val="22"/>
          <w:szCs w:val="22"/>
          <w:shd w:fill="D9D9D9" w:color="auto" w:val="clear"/>
          <w:rtl/>
        </w:rPr>
        <w:t xml:space="preserve">[חודש/שנה]</w:t>
      </w:r>
      <w:r>
        <w:rPr>
          <w:rFonts w:ascii="Arial" w:cs="Arial" w:eastAsia="Arial" w:hAnsi="Arial"/>
          <w:sz w:val="22"/>
          <w:szCs w:val="22"/>
          <w:rtl/>
        </w:rPr>
        <w:t xml:space="preserve">. פרטים אלה הם נקודת פתיחה למשא ומתן בלבד ואינם הסכמה סופית.</w:t>
      </w:r>
    </w:p>
    <w:p>
      <w:pPr>
        <w:pStyle w:val="ListParagraph"/>
        <w:numPr>
          <w:ilvl w:val="0"/>
          <w:numId w:val="4"/>
        </w:numPr>
        <w:bidi/>
        <w:spacing w:after="80" w:line="300"/>
      </w:pPr>
      <w:r>
        <w:rPr>
          <w:rFonts w:ascii="Arial" w:cs="Arial" w:eastAsia="Arial" w:hAnsi="Arial"/>
          <w:sz w:val="22"/>
          <w:szCs w:val="22"/>
          <w:rtl/>
        </w:rPr>
        <w:t xml:space="preserve">3. מכתב זה אינו חוזה, אינו זיכרון דברים מחייב ואינו יוצר כל התחייבות למכור או לקנות. התחייבות כזו תיווצר רק בחוזה מכר מפורט שייחתם על ידי שני הצדדים לאחר בדיקה של עורכי הדין מטעם כל צד. עד אז כל צד רשאי לסגת מהמשא ומתן בכל עת, ללא חובת פיצוי בשל עצם הנסיגה, ובלי לגרוע מחובת תום הלב במשא ומתן לפי דין.</w:t>
      </w:r>
    </w:p>
    <w:p>
      <w:pPr>
        <w:pStyle w:val="ListParagraph"/>
        <w:numPr>
          <w:ilvl w:val="0"/>
          <w:numId w:val="4"/>
        </w:numPr>
        <w:bidi/>
        <w:spacing w:after="80" w:line="300"/>
      </w:pPr>
      <w:r>
        <w:rPr>
          <w:rFonts w:ascii="Arial" w:cs="Arial" w:eastAsia="Arial" w:hAnsi="Arial"/>
          <w:sz w:val="22"/>
          <w:szCs w:val="22"/>
          <w:rtl/>
        </w:rPr>
        <w:t xml:space="preserve">4. לא יועברו כספים, מקדמה או דמי רצינות על פי מכתב זה. </w:t>
      </w:r>
      <w:r>
        <w:rPr>
          <w:rFonts w:ascii="Arial" w:cs="Arial" w:eastAsia="Arial" w:hAnsi="Arial"/>
          <w:sz w:val="22"/>
          <w:szCs w:val="22"/>
          <w:shd w:fill="D9D9D9" w:color="auto" w:val="clear"/>
          <w:rtl/>
        </w:rPr>
        <w:t xml:space="preserve">[אם בכל זאת מועבר סכום: הוא יופקד בנאמנות בידי עו״ד [שם]</w:t>
      </w:r>
      <w:r>
        <w:rPr>
          <w:rFonts w:ascii="Arial" w:cs="Arial" w:eastAsia="Arial" w:hAnsi="Arial"/>
          <w:sz w:val="22"/>
          <w:szCs w:val="22"/>
          <w:rtl/>
        </w:rPr>
        <w:t xml:space="preserve"> ויוחזר במלואו לקונה אם לא ייחתם חוזה עד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5. </w:t>
      </w:r>
      <w:r>
        <w:rPr>
          <w:rFonts w:ascii="Arial" w:cs="Arial" w:eastAsia="Arial" w:hAnsi="Arial"/>
          <w:sz w:val="22"/>
          <w:szCs w:val="22"/>
          <w:shd w:fill="D9D9D9" w:color="auto" w:val="clear"/>
          <w:rtl/>
        </w:rPr>
        <w:t xml:space="preserve">[אופציונלי]</w:t>
      </w:r>
      <w:r>
        <w:rPr>
          <w:rFonts w:ascii="Arial" w:cs="Arial" w:eastAsia="Arial" w:hAnsi="Arial"/>
          <w:sz w:val="22"/>
          <w:szCs w:val="22"/>
          <w:rtl/>
        </w:rPr>
        <w:t xml:space="preserve"> בכוונת המוכר להמציא לקונה ולעורך דינו נסח רישום, תשריט ומסמכים נוספים לצורך בדיקה, ולאפשר ביקור של שמאי או בודק מטעם הקונה.</w:t>
      </w:r>
    </w:p>
    <w:p>
      <w:pPr>
        <w:pStyle w:val="ListParagraph"/>
        <w:numPr>
          <w:ilvl w:val="0"/>
          <w:numId w:val="4"/>
        </w:numPr>
        <w:bidi/>
        <w:spacing w:after="80" w:line="300"/>
      </w:pPr>
      <w:r>
        <w:rPr>
          <w:rFonts w:ascii="Arial" w:cs="Arial" w:eastAsia="Arial" w:hAnsi="Arial"/>
          <w:sz w:val="22"/>
          <w:szCs w:val="22"/>
          <w:rtl/>
        </w:rPr>
        <w:t xml:space="preserve">6. </w:t>
      </w:r>
      <w:r>
        <w:rPr>
          <w:rFonts w:ascii="Arial" w:cs="Arial" w:eastAsia="Arial" w:hAnsi="Arial"/>
          <w:sz w:val="22"/>
          <w:szCs w:val="22"/>
          <w:shd w:fill="D9D9D9" w:color="auto" w:val="clear"/>
          <w:rtl/>
        </w:rPr>
        <w:t xml:space="preserve">[אופציונלי]</w:t>
      </w:r>
      <w:r>
        <w:rPr>
          <w:rFonts w:ascii="Arial" w:cs="Arial" w:eastAsia="Arial" w:hAnsi="Arial"/>
          <w:sz w:val="22"/>
          <w:szCs w:val="22"/>
          <w:rtl/>
        </w:rPr>
        <w:t xml:space="preserve"> בכוונת המוכר שלא לחתום על חוזה עם אחר עד </w:t>
      </w:r>
      <w:r>
        <w:rPr>
          <w:rFonts w:ascii="Arial" w:cs="Arial" w:eastAsia="Arial" w:hAnsi="Arial"/>
          <w:sz w:val="22"/>
          <w:szCs w:val="22"/>
          <w:shd w:fill="D9D9D9" w:color="auto" w:val="clear"/>
          <w:rtl/>
        </w:rPr>
        <w:t xml:space="preserve">[תאריך, מומלץ לא יותר מ-7 ימים ממועד מכתב זה]</w:t>
      </w:r>
      <w:r>
        <w:rPr>
          <w:rFonts w:ascii="Arial" w:cs="Arial" w:eastAsia="Arial" w:hAnsi="Arial"/>
          <w:sz w:val="22"/>
          <w:szCs w:val="22"/>
          <w:rtl/>
        </w:rPr>
        <w:t xml:space="preserve">. זו הצהרת כוונות בלבד: היא אינה התחייבות לבלעדיות, אינה יוצרת חיוב למכור לקונה ואינה מקנה זכות לפיצוי.</w:t>
      </w:r>
    </w:p>
    <w:p>
      <w:pPr>
        <w:pStyle w:val="ListParagraph"/>
        <w:numPr>
          <w:ilvl w:val="0"/>
          <w:numId w:val="4"/>
        </w:numPr>
        <w:bidi/>
        <w:spacing w:after="80" w:line="300"/>
      </w:pPr>
      <w:r>
        <w:rPr>
          <w:rFonts w:ascii="Arial" w:cs="Arial" w:eastAsia="Arial" w:hAnsi="Arial"/>
          <w:sz w:val="22"/>
          <w:szCs w:val="22"/>
          <w:rtl/>
        </w:rPr>
        <w:t xml:space="preserve">7. עורכי הדין: מטעם המוכר: עו״ד </w:t>
      </w:r>
      <w:r>
        <w:rPr>
          <w:rFonts w:ascii="Arial" w:cs="Arial" w:eastAsia="Arial" w:hAnsi="Arial"/>
          <w:sz w:val="22"/>
          <w:szCs w:val="22"/>
          <w:shd w:fill="D9D9D9" w:color="auto" w:val="clear"/>
          <w:rtl/>
        </w:rPr>
        <w:t xml:space="preserve">[שם]</w:t>
      </w:r>
      <w:r>
        <w:rPr>
          <w:rFonts w:ascii="Arial" w:cs="Arial" w:eastAsia="Arial" w:hAnsi="Arial"/>
          <w:sz w:val="22"/>
          <w:szCs w:val="22"/>
          <w:rtl/>
        </w:rPr>
        <w:t xml:space="preserve">; מטעם הקונה: עו״ד </w:t>
      </w:r>
      <w:r>
        <w:rPr>
          <w:rFonts w:ascii="Arial" w:cs="Arial" w:eastAsia="Arial" w:hAnsi="Arial"/>
          <w:sz w:val="22"/>
          <w:szCs w:val="22"/>
          <w:shd w:fill="D9D9D9" w:color="auto" w:val="clear"/>
          <w:rtl/>
        </w:rPr>
        <w:t xml:space="preserve">[שם]</w:t>
      </w:r>
      <w:r>
        <w:rPr>
          <w:rFonts w:ascii="Arial" w:cs="Arial" w:eastAsia="Arial" w:hAnsi="Arial"/>
          <w:sz w:val="22"/>
          <w:szCs w:val="22"/>
          <w:rtl/>
        </w:rPr>
        <w:t xml:space="preserve">.</w:t>
      </w:r>
    </w:p>
    <w:p>
      <w:pPr>
        <w:pStyle w:val="ListParagraph"/>
        <w:numPr>
          <w:ilvl w:val="0"/>
          <w:numId w:val="4"/>
        </w:numPr>
        <w:bidi/>
        <w:spacing w:after="80" w:line="300"/>
      </w:pPr>
      <w:r>
        <w:rPr>
          <w:rFonts w:ascii="Arial" w:cs="Arial" w:eastAsia="Arial" w:hAnsi="Arial"/>
          <w:sz w:val="22"/>
          <w:szCs w:val="22"/>
          <w:rtl/>
        </w:rPr>
        <w:t xml:space="preserve">8. כל צד יישא בהוצאותיו, לרבות שכר עורך דינו, שמאי ובודקים, בין אם ייחתם חוזה ובין אם לא. אין חובה להמשיך במשא ומתן או להגיע לחוזה, והסתמכות של צד על מכתב זה או על המשא ומתן אינה יוצרת כשלעצמה עילה כלפי הצד השני, בלי לגרוע מחובת תום הלב. הצדדים מתכוונים לשמור על תנאי המשא ומתן בסוד, למעט גילוי ליועציהם, לבנק המממן או לפי דין.</w:t>
      </w:r>
    </w:p>
    <w:p>
      <w:pPr>
        <w:pStyle w:val="ListParagraph"/>
        <w:numPr>
          <w:ilvl w:val="0"/>
          <w:numId w:val="4"/>
        </w:numPr>
        <w:bidi/>
        <w:spacing w:after="80" w:line="300"/>
      </w:pPr>
      <w:r>
        <w:rPr>
          <w:rFonts w:ascii="Arial" w:cs="Arial" w:eastAsia="Arial" w:hAnsi="Arial"/>
          <w:sz w:val="22"/>
          <w:szCs w:val="22"/>
          <w:rtl/>
        </w:rPr>
        <w:t xml:space="preserve">חתימות (לאישור קבלת המכתב בלבד): _____ המוכר  _____ הקונה</w:t>
      </w:r>
    </w:p>
    <w:p>
      <w:pPr>
        <w:pStyle w:val="Heading1"/>
        <w:bidi/>
      </w:pPr>
      <w:r>
        <w:rPr>
          <w:rFonts w:ascii="Arial" w:cs="Arial" w:eastAsia="Arial" w:hAnsi="Arial"/>
          <w:b/>
          <w:bCs/>
          <w:sz w:val="32"/>
          <w:szCs w:val="32"/>
          <w:rtl/>
        </w:rPr>
        <w:t xml:space="preserve">לפני שחותמים על כל מסמך</w:t>
      </w:r>
    </w:p>
    <w:p>
      <w:pPr>
        <w:pStyle w:val="ListParagraph"/>
        <w:numPr>
          <w:ilvl w:val="0"/>
          <w:numId w:val="5"/>
        </w:numPr>
        <w:bidi/>
        <w:spacing w:after="80" w:line="300"/>
      </w:pPr>
      <w:r>
        <w:rPr>
          <w:rFonts w:ascii="Arial" w:cs="Arial" w:eastAsia="Arial" w:hAnsi="Arial"/>
          <w:sz w:val="22"/>
          <w:szCs w:val="22"/>
          <w:rtl/>
        </w:rPr>
        <w:t xml:space="preserve">קראו את הכותרת, אבל אל תסמכו עליה: בית המשפט בוחן את התוכן ואת התנהגות הצדדים.</w:t>
      </w:r>
    </w:p>
    <w:p>
      <w:pPr>
        <w:pStyle w:val="ListParagraph"/>
        <w:numPr>
          <w:ilvl w:val="0"/>
          <w:numId w:val="5"/>
        </w:numPr>
        <w:bidi/>
        <w:spacing w:after="80" w:line="300"/>
      </w:pPr>
      <w:r>
        <w:rPr>
          <w:rFonts w:ascii="Arial" w:cs="Arial" w:eastAsia="Arial" w:hAnsi="Arial"/>
          <w:sz w:val="22"/>
          <w:szCs w:val="22"/>
          <w:rtl/>
        </w:rPr>
        <w:t xml:space="preserve">אל תעבירו מקדמה בלי נאמנות ובלי תנאי החזרה ברורים.</w:t>
      </w:r>
    </w:p>
    <w:p>
      <w:pPr>
        <w:pStyle w:val="ListParagraph"/>
        <w:numPr>
          <w:ilvl w:val="0"/>
          <w:numId w:val="5"/>
        </w:numPr>
        <w:bidi/>
        <w:spacing w:after="80" w:line="300"/>
      </w:pPr>
      <w:r>
        <w:rPr>
          <w:rFonts w:ascii="Arial" w:cs="Arial" w:eastAsia="Arial" w:hAnsi="Arial"/>
          <w:sz w:val="22"/>
          <w:szCs w:val="22"/>
          <w:rtl/>
        </w:rPr>
        <w:t xml:space="preserve">הראו את המסמך לעורך הדין שלכם לפני החתימה, לא אחריה.</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9"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זיכרון דברים בעסקת דירה: דוגמה וחלופה לא מחייבת</dc:title>
  <dc:creator>partouche-law.com</dc:creator>
  <cp:lastModifiedBy>Un-named</cp:lastModifiedBy>
  <cp:revision>1</cp:revision>
  <dcterms:created xsi:type="dcterms:W3CDTF">2026-11-04T11:45:42.239Z</dcterms:created>
  <dcterms:modified xsi:type="dcterms:W3CDTF">2026-11-04T11:45:42.239Z</dcterms:modified>
</cp:coreProperties>
</file>

<file path=docProps/custom.xml><?xml version="1.0" encoding="utf-8"?>
<Properties xmlns="http://schemas.openxmlformats.org/officeDocument/2006/custom-properties" xmlns:vt="http://schemas.openxmlformats.org/officeDocument/2006/docPropsVTypes"/>
</file>