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bidi/>
      </w:pPr>
      <w:r>
        <w:rPr>
          <w:rFonts w:ascii="Arial" w:cs="Arial" w:eastAsia="Arial" w:hAnsi="Arial"/>
          <w:b/>
          <w:bCs/>
          <w:color w:val="1F3864"/>
          <w:sz w:val="44"/>
          <w:szCs w:val="44"/>
          <w:rtl/>
        </w:rPr>
        <w:t xml:space="preserve">נספח קונה לחוזה קבלן: הסעיפים שכדאי לדרוש</w:t>
      </w:r>
    </w:p>
    <w:p>
      <w:pPr>
        <w:pStyle w:val="Heading1"/>
        <w:bidi/>
      </w:pPr>
      <w:r>
        <w:rPr>
          <w:rFonts w:ascii="Arial" w:cs="Arial" w:eastAsia="Arial" w:hAnsi="Arial"/>
          <w:b/>
          <w:bCs/>
          <w:sz w:val="32"/>
          <w:szCs w:val="32"/>
          <w:rtl/>
        </w:rPr>
        <w:t xml:space="preserve">נספח קונה לחוזה מכר דירה מקבלן: נוסח לדוגמה</w:t>
      </w:r>
    </w:p>
    <w:p>
      <w:pPr>
        <w:bidi/>
        <w:spacing w:after="120" w:line="300"/>
      </w:pPr>
      <w:r>
        <w:rPr>
          <w:rFonts w:ascii="Arial" w:cs="Arial" w:eastAsia="Arial" w:hAnsi="Arial"/>
          <w:sz w:val="22"/>
          <w:szCs w:val="22"/>
          <w:rtl/>
        </w:rPr>
        <w:t xml:space="preserve">מסמך זה הוא דוגמה כללית בלבד ואינו מהווה ייעוץ משפטי. כל עסקה שונה; אין לחתום על מסמך משפטי ללא בדיקה של עורך דין. הוכן על ידי משרד עו״ד חיים פרטוש (מ״ר 63935) לצורכי הסבר בלבד.</w:t>
      </w:r>
    </w:p>
    <w:p>
      <w:pPr>
        <w:bidi/>
        <w:spacing w:after="120" w:line="300"/>
      </w:pPr>
      <w:r>
        <w:rPr>
          <w:rFonts w:ascii="Arial" w:cs="Arial" w:eastAsia="Arial" w:hAnsi="Arial"/>
          <w:sz w:val="22"/>
          <w:szCs w:val="22"/>
          <w:rtl/>
        </w:rPr>
        <w:t xml:space="preserve">נספח זה מצורף לחוזה המכר מיום </w:t>
      </w:r>
      <w:r>
        <w:rPr>
          <w:rFonts w:ascii="Arial" w:cs="Arial" w:eastAsia="Arial" w:hAnsi="Arial"/>
          <w:sz w:val="22"/>
          <w:szCs w:val="22"/>
          <w:shd w:fill="D9D9D9" w:color="auto" w:val="clear"/>
          <w:rtl/>
        </w:rPr>
        <w:t xml:space="preserve">[תאריך]</w:t>
      </w:r>
      <w:r>
        <w:rPr>
          <w:rFonts w:ascii="Arial" w:cs="Arial" w:eastAsia="Arial" w:hAnsi="Arial"/>
          <w:sz w:val="22"/>
          <w:szCs w:val="22"/>
          <w:rtl/>
        </w:rPr>
        <w:t xml:space="preserve"> בין </w:t>
      </w:r>
      <w:r>
        <w:rPr>
          <w:rFonts w:ascii="Arial" w:cs="Arial" w:eastAsia="Arial" w:hAnsi="Arial"/>
          <w:sz w:val="22"/>
          <w:szCs w:val="22"/>
          <w:shd w:fill="D9D9D9" w:color="auto" w:val="clear"/>
          <w:rtl/>
        </w:rPr>
        <w:t xml:space="preserve">[שם החברה המוכרת]</w:t>
      </w:r>
      <w:r>
        <w:rPr>
          <w:rFonts w:ascii="Arial" w:cs="Arial" w:eastAsia="Arial" w:hAnsi="Arial"/>
          <w:sz w:val="22"/>
          <w:szCs w:val="22"/>
          <w:rtl/>
        </w:rPr>
        <w:t xml:space="preserve">, ח.פ. </w:t>
      </w:r>
      <w:r>
        <w:rPr>
          <w:rFonts w:ascii="Arial" w:cs="Arial" w:eastAsia="Arial" w:hAnsi="Arial"/>
          <w:sz w:val="22"/>
          <w:szCs w:val="22"/>
          <w:shd w:fill="D9D9D9" w:color="auto" w:val="clear"/>
          <w:rtl/>
        </w:rPr>
        <w:t xml:space="preserve">[מספר]</w:t>
      </w:r>
      <w:r>
        <w:rPr>
          <w:rFonts w:ascii="Arial" w:cs="Arial" w:eastAsia="Arial" w:hAnsi="Arial"/>
          <w:sz w:val="22"/>
          <w:szCs w:val="22"/>
          <w:rtl/>
        </w:rPr>
        <w:t xml:space="preserve"> (להלן: "המוכר") לבין </w:t>
      </w:r>
      <w:r>
        <w:rPr>
          <w:rFonts w:ascii="Arial" w:cs="Arial" w:eastAsia="Arial" w:hAnsi="Arial"/>
          <w:sz w:val="22"/>
          <w:szCs w:val="22"/>
          <w:shd w:fill="D9D9D9" w:color="auto" w:val="clear"/>
          <w:rtl/>
        </w:rPr>
        <w:t xml:space="preserve">[שם הקונה]</w:t>
      </w:r>
      <w:r>
        <w:rPr>
          <w:rFonts w:ascii="Arial" w:cs="Arial" w:eastAsia="Arial" w:hAnsi="Arial"/>
          <w:sz w:val="22"/>
          <w:szCs w:val="22"/>
          <w:rtl/>
        </w:rPr>
        <w:t xml:space="preserve">, ת.ז. </w:t>
      </w:r>
      <w:r>
        <w:rPr>
          <w:rFonts w:ascii="Arial" w:cs="Arial" w:eastAsia="Arial" w:hAnsi="Arial"/>
          <w:sz w:val="22"/>
          <w:szCs w:val="22"/>
          <w:shd w:fill="D9D9D9" w:color="auto" w:val="clear"/>
          <w:rtl/>
        </w:rPr>
        <w:t xml:space="preserve">[ת.ז.]</w:t>
      </w:r>
      <w:r>
        <w:rPr>
          <w:rFonts w:ascii="Arial" w:cs="Arial" w:eastAsia="Arial" w:hAnsi="Arial"/>
          <w:sz w:val="22"/>
          <w:szCs w:val="22"/>
          <w:rtl/>
        </w:rPr>
        <w:t xml:space="preserve"> (להלן: "הקונה"), לגבי דירה מס׳ </w:t>
      </w:r>
      <w:r>
        <w:rPr>
          <w:rFonts w:ascii="Arial" w:cs="Arial" w:eastAsia="Arial" w:hAnsi="Arial"/>
          <w:sz w:val="22"/>
          <w:szCs w:val="22"/>
          <w:shd w:fill="D9D9D9" w:color="auto" w:val="clear"/>
          <w:rtl/>
        </w:rPr>
        <w:t xml:space="preserve">[מספר]</w:t>
      </w:r>
      <w:r>
        <w:rPr>
          <w:rFonts w:ascii="Arial" w:cs="Arial" w:eastAsia="Arial" w:hAnsi="Arial"/>
          <w:sz w:val="22"/>
          <w:szCs w:val="22"/>
          <w:rtl/>
        </w:rPr>
        <w:t xml:space="preserve"> בקומה </w:t>
      </w:r>
      <w:r>
        <w:rPr>
          <w:rFonts w:ascii="Arial" w:cs="Arial" w:eastAsia="Arial" w:hAnsi="Arial"/>
          <w:sz w:val="22"/>
          <w:szCs w:val="22"/>
          <w:shd w:fill="D9D9D9" w:color="auto" w:val="clear"/>
          <w:rtl/>
        </w:rPr>
        <w:t xml:space="preserve">[קומה]</w:t>
      </w:r>
      <w:r>
        <w:rPr>
          <w:rFonts w:ascii="Arial" w:cs="Arial" w:eastAsia="Arial" w:hAnsi="Arial"/>
          <w:sz w:val="22"/>
          <w:szCs w:val="22"/>
          <w:rtl/>
        </w:rPr>
        <w:t xml:space="preserve"> בבניין </w:t>
      </w:r>
      <w:r>
        <w:rPr>
          <w:rFonts w:ascii="Arial" w:cs="Arial" w:eastAsia="Arial" w:hAnsi="Arial"/>
          <w:sz w:val="22"/>
          <w:szCs w:val="22"/>
          <w:shd w:fill="D9D9D9" w:color="auto" w:val="clear"/>
          <w:rtl/>
        </w:rPr>
        <w:t xml:space="preserve">[מספר בניין]</w:t>
      </w:r>
      <w:r>
        <w:rPr>
          <w:rFonts w:ascii="Arial" w:cs="Arial" w:eastAsia="Arial" w:hAnsi="Arial"/>
          <w:sz w:val="22"/>
          <w:szCs w:val="22"/>
          <w:rtl/>
        </w:rPr>
        <w:t xml:space="preserve"> בפרויקט </w:t>
      </w:r>
      <w:r>
        <w:rPr>
          <w:rFonts w:ascii="Arial" w:cs="Arial" w:eastAsia="Arial" w:hAnsi="Arial"/>
          <w:sz w:val="22"/>
          <w:szCs w:val="22"/>
          <w:shd w:fill="D9D9D9" w:color="auto" w:val="clear"/>
          <w:rtl/>
        </w:rPr>
        <w:t xml:space="preserve">[שם הפרויקט]</w:t>
      </w:r>
      <w:r>
        <w:rPr>
          <w:rFonts w:ascii="Arial" w:cs="Arial" w:eastAsia="Arial" w:hAnsi="Arial"/>
          <w:sz w:val="22"/>
          <w:szCs w:val="22"/>
          <w:rtl/>
        </w:rPr>
        <w:t xml:space="preserve">, על מקרקעין הידועים כגוש </w:t>
      </w:r>
      <w:r>
        <w:rPr>
          <w:rFonts w:ascii="Arial" w:cs="Arial" w:eastAsia="Arial" w:hAnsi="Arial"/>
          <w:sz w:val="22"/>
          <w:szCs w:val="22"/>
          <w:shd w:fill="D9D9D9" w:color="auto" w:val="clear"/>
          <w:rtl/>
        </w:rPr>
        <w:t xml:space="preserve">[גוש]</w:t>
      </w:r>
      <w:r>
        <w:rPr>
          <w:rFonts w:ascii="Arial" w:cs="Arial" w:eastAsia="Arial" w:hAnsi="Arial"/>
          <w:sz w:val="22"/>
          <w:szCs w:val="22"/>
          <w:rtl/>
        </w:rPr>
        <w:t xml:space="preserve"> חלקה </w:t>
      </w:r>
      <w:r>
        <w:rPr>
          <w:rFonts w:ascii="Arial" w:cs="Arial" w:eastAsia="Arial" w:hAnsi="Arial"/>
          <w:sz w:val="22"/>
          <w:szCs w:val="22"/>
          <w:shd w:fill="D9D9D9" w:color="auto" w:val="clear"/>
          <w:rtl/>
        </w:rPr>
        <w:t xml:space="preserve">[חלקה]</w:t>
      </w:r>
      <w:r>
        <w:rPr>
          <w:rFonts w:ascii="Arial" w:cs="Arial" w:eastAsia="Arial" w:hAnsi="Arial"/>
          <w:sz w:val="22"/>
          <w:szCs w:val="22"/>
          <w:rtl/>
        </w:rPr>
        <w:t xml:space="preserve"> (להלן: "הדירה").</w:t>
      </w:r>
    </w:p>
    <w:p>
      <w:pPr>
        <w:bidi/>
        <w:spacing w:after="120" w:line="300"/>
      </w:pPr>
      <w:r>
        <w:rPr>
          <w:rFonts w:ascii="Arial" w:cs="Arial" w:eastAsia="Arial" w:hAnsi="Arial"/>
          <w:sz w:val="22"/>
          <w:szCs w:val="22"/>
          <w:rtl/>
        </w:rPr>
        <w:t xml:space="preserve">בכל מקרה של סתירה בין הוראות נספח זה לבין הוראות החוזה או נספחיו האחרים, יגברו הוראות נספח זה. אין באמור בנספח כדי לגרוע מזכות כלשהי של הקונה לפי חוק המכר (דירות), התשל״ג-1973, או לפי כל דין.</w:t>
      </w:r>
    </w:p>
    <w:p>
      <w:pPr>
        <w:pStyle w:val="Heading1"/>
        <w:bidi/>
      </w:pPr>
      <w:r>
        <w:rPr>
          <w:rFonts w:ascii="Arial" w:cs="Arial" w:eastAsia="Arial" w:hAnsi="Arial"/>
          <w:b/>
          <w:bCs/>
          <w:sz w:val="32"/>
          <w:szCs w:val="32"/>
          <w:rtl/>
        </w:rPr>
        <w:t xml:space="preserve">1. מועד מסירה ריאלי ופיצוי על איחור</w:t>
      </w:r>
    </w:p>
    <w:p>
      <w:pPr>
        <w:pStyle w:val="ListParagraph"/>
        <w:numPr>
          <w:ilvl w:val="0"/>
          <w:numId w:val="2"/>
        </w:numPr>
        <w:bidi/>
        <w:spacing w:after="80" w:line="300"/>
      </w:pPr>
      <w:r>
        <w:rPr>
          <w:rFonts w:ascii="Arial" w:cs="Arial" w:eastAsia="Arial" w:hAnsi="Arial"/>
          <w:sz w:val="22"/>
          <w:szCs w:val="22"/>
          <w:rtl/>
        </w:rPr>
        <w:t xml:space="preserve">1.1 מועד המסירה של הדירה הוא </w:t>
      </w:r>
      <w:r>
        <w:rPr>
          <w:rFonts w:ascii="Arial" w:cs="Arial" w:eastAsia="Arial" w:hAnsi="Arial"/>
          <w:sz w:val="22"/>
          <w:szCs w:val="22"/>
          <w:shd w:fill="D9D9D9" w:color="auto" w:val="clear"/>
          <w:rtl/>
        </w:rPr>
        <w:t xml:space="preserve">[תאריך מדויק]</w:t>
      </w:r>
      <w:r>
        <w:rPr>
          <w:rFonts w:ascii="Arial" w:cs="Arial" w:eastAsia="Arial" w:hAnsi="Arial"/>
          <w:sz w:val="22"/>
          <w:szCs w:val="22"/>
          <w:rtl/>
        </w:rPr>
        <w:t xml:space="preserve">. לא ייקבע "טווח" מסירה, ולא יינתנו למוכר ארכות נוספות מעבר למה שמאפשר החוק.</w:t>
      </w:r>
    </w:p>
    <w:p>
      <w:pPr>
        <w:pStyle w:val="ListParagraph"/>
        <w:numPr>
          <w:ilvl w:val="0"/>
          <w:numId w:val="2"/>
        </w:numPr>
        <w:bidi/>
        <w:spacing w:after="80" w:line="300"/>
      </w:pPr>
      <w:r>
        <w:rPr>
          <w:rFonts w:ascii="Arial" w:cs="Arial" w:eastAsia="Arial" w:hAnsi="Arial"/>
          <w:sz w:val="22"/>
          <w:szCs w:val="22"/>
          <w:rtl/>
        </w:rPr>
        <w:t xml:space="preserve">1.2 מועדי הביניים בחוזה (השלמת שלד, הגשת בקשה לחיבור חשמל, קבלת אישור אכלוס) יתואמו למועד המסירה, ולא יוטלו על הקונה התחייבויות במועדים שאינם תלויים בו או שאינם ניתנים לביצוע.</w:t>
      </w:r>
    </w:p>
    <w:p>
      <w:pPr>
        <w:pStyle w:val="ListParagraph"/>
        <w:numPr>
          <w:ilvl w:val="0"/>
          <w:numId w:val="2"/>
        </w:numPr>
        <w:bidi/>
        <w:spacing w:after="80" w:line="300"/>
      </w:pPr>
      <w:r>
        <w:rPr>
          <w:rFonts w:ascii="Arial" w:cs="Arial" w:eastAsia="Arial" w:hAnsi="Arial"/>
          <w:sz w:val="22"/>
          <w:szCs w:val="22"/>
          <w:rtl/>
        </w:rPr>
        <w:t xml:space="preserve">1.3 לא יעמיד המוכר את הדירה לרשות הקונה במועד, ישלם לקונה פיצוי ללא הוכחת נזק לפי סעיף 5א לחוק המכר (דירות), או לפי הסכום הקבוע בחוזה אם הוא גבוה יותר. הפיצוי ישולם בתום כל חודש של איחור.</w:t>
      </w:r>
    </w:p>
    <w:p>
      <w:pPr>
        <w:pStyle w:val="ListParagraph"/>
        <w:numPr>
          <w:ilvl w:val="0"/>
          <w:numId w:val="2"/>
        </w:numPr>
        <w:bidi/>
        <w:spacing w:after="80" w:line="300"/>
      </w:pPr>
      <w:r>
        <w:rPr>
          <w:rFonts w:ascii="Arial" w:cs="Arial" w:eastAsia="Arial" w:hAnsi="Arial"/>
          <w:sz w:val="22"/>
          <w:szCs w:val="22"/>
          <w:rtl/>
        </w:rPr>
        <w:t xml:space="preserve">1.4 </w:t>
      </w:r>
      <w:r>
        <w:rPr>
          <w:rFonts w:ascii="Arial" w:cs="Arial" w:eastAsia="Arial" w:hAnsi="Arial"/>
          <w:sz w:val="22"/>
          <w:szCs w:val="22"/>
          <w:shd w:fill="D9D9D9" w:color="auto" w:val="clear"/>
          <w:rtl/>
        </w:rPr>
        <w:t xml:space="preserve">[לחוזה שנכרת ביום 7.7.2022 ואילך:]</w:t>
      </w:r>
      <w:r>
        <w:rPr>
          <w:rFonts w:ascii="Arial" w:cs="Arial" w:eastAsia="Arial" w:hAnsi="Arial"/>
          <w:sz w:val="22"/>
          <w:szCs w:val="22"/>
          <w:rtl/>
        </w:rPr>
        <w:t xml:space="preserve"> הצדדים מאשרים כי המוכר פטור מתשלום הפיצוי על איחור רק במקרים הקבועים בסעיף 5א(ג) לחוק המכר (דירות), וכל הגדרה רחבה יותר בחוזה של "כוח עליון" או "נסיבות שאינן בשליטת המוכר" לא תחול לעניין הפיצוי. עילות אחרות לדחיית המסירה יוגדרו באופן מצומצם. המוכר יודיע לקונה בכתב על כל עיכוב צפוי מיד כשנודע לו, עם פירוט הסיבה והקשר שלה לפרויקט הספציפי. מחסור כללי בעובדים, בחומרים או במימון אינו עילה לדחייה.</w:t>
      </w:r>
    </w:p>
    <w:p>
      <w:pPr>
        <w:pStyle w:val="ListParagraph"/>
        <w:numPr>
          <w:ilvl w:val="0"/>
          <w:numId w:val="2"/>
        </w:numPr>
        <w:bidi/>
        <w:spacing w:after="80" w:line="300"/>
      </w:pPr>
      <w:r>
        <w:rPr>
          <w:rFonts w:ascii="Arial" w:cs="Arial" w:eastAsia="Arial" w:hAnsi="Arial"/>
          <w:sz w:val="22"/>
          <w:szCs w:val="22"/>
          <w:rtl/>
        </w:rPr>
        <w:t xml:space="preserve">1.5 היה האיחור ממושך מ-</w:t>
      </w:r>
      <w:r>
        <w:rPr>
          <w:rFonts w:ascii="Arial" w:cs="Arial" w:eastAsia="Arial" w:hAnsi="Arial"/>
          <w:sz w:val="22"/>
          <w:szCs w:val="22"/>
          <w:shd w:fill="D9D9D9" w:color="auto" w:val="clear"/>
          <w:rtl/>
        </w:rPr>
        <w:t xml:space="preserve">[מספר]</w:t>
      </w:r>
      <w:r>
        <w:rPr>
          <w:rFonts w:ascii="Arial" w:cs="Arial" w:eastAsia="Arial" w:hAnsi="Arial"/>
          <w:sz w:val="22"/>
          <w:szCs w:val="22"/>
          <w:rtl/>
        </w:rPr>
        <w:t xml:space="preserve"> חודשים, רשאי הקונה לבטל את החוזה ולקבל בחזרה את כל ששילם, בתוספת הפרשי הצמדה וריבית, וזאת בלי לגרוע מזכותו לפיצוי.</w:t>
      </w:r>
    </w:p>
    <w:p>
      <w:pPr>
        <w:pStyle w:val="Heading1"/>
        <w:bidi/>
      </w:pPr>
      <w:r>
        <w:rPr>
          <w:rFonts w:ascii="Arial" w:cs="Arial" w:eastAsia="Arial" w:hAnsi="Arial"/>
          <w:b/>
          <w:bCs/>
          <w:sz w:val="32"/>
          <w:szCs w:val="32"/>
          <w:rtl/>
        </w:rPr>
        <w:t xml:space="preserve">2. לוח תשלומים, אבטחת כספים ומשכנתא</w:t>
      </w:r>
    </w:p>
    <w:p>
      <w:pPr>
        <w:pStyle w:val="ListParagraph"/>
        <w:numPr>
          <w:ilvl w:val="0"/>
          <w:numId w:val="3"/>
        </w:numPr>
        <w:bidi/>
        <w:spacing w:after="80" w:line="300"/>
      </w:pPr>
      <w:r>
        <w:rPr>
          <w:rFonts w:ascii="Arial" w:cs="Arial" w:eastAsia="Arial" w:hAnsi="Arial"/>
          <w:sz w:val="22"/>
          <w:szCs w:val="22"/>
          <w:rtl/>
        </w:rPr>
        <w:t xml:space="preserve">2.1 כל תשלום יבוצע רק באמצעות שובר מפנקס השוברים של הפרויקט, לחשבון הליווי.</w:t>
      </w:r>
    </w:p>
    <w:p>
      <w:pPr>
        <w:pStyle w:val="ListParagraph"/>
        <w:numPr>
          <w:ilvl w:val="0"/>
          <w:numId w:val="3"/>
        </w:numPr>
        <w:bidi/>
        <w:spacing w:after="80" w:line="300"/>
      </w:pPr>
      <w:r>
        <w:rPr>
          <w:rFonts w:ascii="Arial" w:cs="Arial" w:eastAsia="Arial" w:hAnsi="Arial"/>
          <w:sz w:val="22"/>
          <w:szCs w:val="22"/>
          <w:rtl/>
        </w:rPr>
        <w:t xml:space="preserve">2.2 מעבר לסכום הראשון שהחוק מתיר לקבל בלי בטוחה, לא יקבל המוכר תשלום כלשהו אלא אם הקונה קיבל בטוחה לפי סעיף 2 לחוק המכר (דירות) (הבטחת השקעות של רוכשי דירות), התשל״ה-1974. הבטוחה המועדפת: ערבות בנקאית חוק מכר או פוליסת ביטוח. המוכר יוודא שהבנק המלווה מנפיק את הבטוחה תוך 14 ימי עסקים מכל תשלום, כקבוע בסעיף 3ב(ה) לחוק, ויעביר לקונה העתק ממנה.</w:t>
      </w:r>
    </w:p>
    <w:p>
      <w:pPr>
        <w:pStyle w:val="ListParagraph"/>
        <w:numPr>
          <w:ilvl w:val="0"/>
          <w:numId w:val="3"/>
        </w:numPr>
        <w:bidi/>
        <w:spacing w:after="80" w:line="300"/>
      </w:pPr>
      <w:r>
        <w:rPr>
          <w:rFonts w:ascii="Arial" w:cs="Arial" w:eastAsia="Arial" w:hAnsi="Arial"/>
          <w:sz w:val="22"/>
          <w:szCs w:val="22"/>
          <w:rtl/>
        </w:rPr>
        <w:t xml:space="preserve">2.3 המוכר לא יחליף את הערבות בבטוחה אחרת (משכנתא, הערת אזהרה) לפני השלמת הבנייה ומסירת החזקה לקונה, ובכל מקרה רק בהתאם לסעיף 2א לחוק.</w:t>
      </w:r>
    </w:p>
    <w:p>
      <w:pPr>
        <w:pStyle w:val="ListParagraph"/>
        <w:numPr>
          <w:ilvl w:val="0"/>
          <w:numId w:val="3"/>
        </w:numPr>
        <w:bidi/>
        <w:spacing w:after="80" w:line="300"/>
      </w:pPr>
      <w:r>
        <w:rPr>
          <w:rFonts w:ascii="Arial" w:cs="Arial" w:eastAsia="Arial" w:hAnsi="Arial"/>
          <w:sz w:val="22"/>
          <w:szCs w:val="22"/>
          <w:rtl/>
        </w:rPr>
        <w:t xml:space="preserve">2.4 לוח התשלומים יותאם להתקדמות הבנייה בפועל ולמועדי שחרור המשכנתא של הקונה. המוכר ימסור לקונה, תוך </w:t>
      </w:r>
      <w:r>
        <w:rPr>
          <w:rFonts w:ascii="Arial" w:cs="Arial" w:eastAsia="Arial" w:hAnsi="Arial"/>
          <w:sz w:val="22"/>
          <w:szCs w:val="22"/>
          <w:shd w:fill="D9D9D9" w:color="auto" w:val="clear"/>
          <w:rtl/>
        </w:rPr>
        <w:t xml:space="preserve">[מספר]</w:t>
      </w:r>
      <w:r>
        <w:rPr>
          <w:rFonts w:ascii="Arial" w:cs="Arial" w:eastAsia="Arial" w:hAnsi="Arial"/>
          <w:sz w:val="22"/>
          <w:szCs w:val="22"/>
          <w:rtl/>
        </w:rPr>
        <w:t xml:space="preserve"> ימים, מכתב החרגה מהבנק המלווה ואת כל המסמכים שהבנק של הקונה דורש.</w:t>
      </w:r>
    </w:p>
    <w:p>
      <w:pPr>
        <w:pStyle w:val="ListParagraph"/>
        <w:numPr>
          <w:ilvl w:val="0"/>
          <w:numId w:val="3"/>
        </w:numPr>
        <w:bidi/>
        <w:spacing w:after="80" w:line="300"/>
      </w:pPr>
      <w:r>
        <w:rPr>
          <w:rFonts w:ascii="Arial" w:cs="Arial" w:eastAsia="Arial" w:hAnsi="Arial"/>
          <w:sz w:val="22"/>
          <w:szCs w:val="22"/>
          <w:rtl/>
        </w:rPr>
        <w:t xml:space="preserve">2.5 איחור של הבנק של הקונה בהעברת כספי משכנתא, שלא נגרם בשל הקונה, לא ייחשב הפרה של הקונה.</w:t>
      </w:r>
    </w:p>
    <w:p>
      <w:pPr>
        <w:pStyle w:val="Heading1"/>
        <w:bidi/>
      </w:pPr>
      <w:r>
        <w:rPr>
          <w:rFonts w:ascii="Arial" w:cs="Arial" w:eastAsia="Arial" w:hAnsi="Arial"/>
          <w:b/>
          <w:bCs/>
          <w:sz w:val="32"/>
          <w:szCs w:val="32"/>
          <w:rtl/>
        </w:rPr>
        <w:t xml:space="preserve">3. הצמדה למדד תשומות הבנייה (סעיף 5ג לחוק המכר (דירות))</w:t>
      </w:r>
    </w:p>
    <w:p>
      <w:pPr>
        <w:pStyle w:val="ListParagraph"/>
        <w:numPr>
          <w:ilvl w:val="0"/>
          <w:numId w:val="4"/>
        </w:numPr>
        <w:bidi/>
        <w:spacing w:after="80" w:line="300"/>
      </w:pPr>
      <w:r>
        <w:rPr>
          <w:rFonts w:ascii="Arial" w:cs="Arial" w:eastAsia="Arial" w:hAnsi="Arial"/>
          <w:sz w:val="22"/>
          <w:szCs w:val="22"/>
          <w:rtl/>
        </w:rPr>
        <w:t xml:space="preserve">3.1 </w:t>
      </w:r>
      <w:r>
        <w:rPr>
          <w:rFonts w:ascii="Arial" w:cs="Arial" w:eastAsia="Arial" w:hAnsi="Arial"/>
          <w:sz w:val="22"/>
          <w:szCs w:val="22"/>
          <w:shd w:fill="D9D9D9" w:color="auto" w:val="clear"/>
          <w:rtl/>
        </w:rPr>
        <w:t xml:space="preserve">[לחוזה שנכרת ביום 7.7.2022 ואילך:]</w:t>
      </w:r>
      <w:r>
        <w:rPr>
          <w:rFonts w:ascii="Arial" w:cs="Arial" w:eastAsia="Arial" w:hAnsi="Arial"/>
          <w:sz w:val="22"/>
          <w:szCs w:val="22"/>
          <w:rtl/>
        </w:rPr>
        <w:t xml:space="preserve"> רק עד מחצית מכל תשלום תהיה צמודה למדד תשומות הבנייה למגורים, כפי שמפרסמת הלשכה המרכזית לסטטיסטיקה.</w:t>
      </w:r>
    </w:p>
    <w:p>
      <w:pPr>
        <w:pStyle w:val="ListParagraph"/>
        <w:numPr>
          <w:ilvl w:val="0"/>
          <w:numId w:val="4"/>
        </w:numPr>
        <w:bidi/>
        <w:spacing w:after="80" w:line="300"/>
      </w:pPr>
      <w:r>
        <w:rPr>
          <w:rFonts w:ascii="Arial" w:cs="Arial" w:eastAsia="Arial" w:hAnsi="Arial"/>
          <w:sz w:val="22"/>
          <w:szCs w:val="22"/>
          <w:rtl/>
        </w:rPr>
        <w:t xml:space="preserve">3.2 תשלומים בשיעור 20% ממחיר הדירה, המשולמים במועד חתימת החוזה או לפני כל תשלום אחר, לא יהיו צמודים כלל.</w:t>
      </w:r>
    </w:p>
    <w:p>
      <w:pPr>
        <w:pStyle w:val="ListParagraph"/>
        <w:numPr>
          <w:ilvl w:val="0"/>
          <w:numId w:val="4"/>
        </w:numPr>
        <w:bidi/>
        <w:spacing w:after="80" w:line="300"/>
      </w:pPr>
      <w:r>
        <w:rPr>
          <w:rFonts w:ascii="Arial" w:cs="Arial" w:eastAsia="Arial" w:hAnsi="Arial"/>
          <w:sz w:val="22"/>
          <w:szCs w:val="22"/>
          <w:rtl/>
        </w:rPr>
        <w:t xml:space="preserve">3.3 ההצמדה תיפסק במועד המסירה שנקבע בחוזה. איחור במסירה לא יגדיל את הפרשי ההצמדה שהקונה משלם, למעט איחור שהמוכר פטור בשלו מפיצוי לפי סעיף 5א(ג) לחוק (כגון איחור שנגרם בשל הקונה בלבד).</w:t>
      </w:r>
    </w:p>
    <w:p>
      <w:pPr>
        <w:pStyle w:val="ListParagraph"/>
        <w:numPr>
          <w:ilvl w:val="0"/>
          <w:numId w:val="4"/>
        </w:numPr>
        <w:bidi/>
        <w:spacing w:after="80" w:line="300"/>
      </w:pPr>
      <w:r>
        <w:rPr>
          <w:rFonts w:ascii="Arial" w:cs="Arial" w:eastAsia="Arial" w:hAnsi="Arial"/>
          <w:sz w:val="22"/>
          <w:szCs w:val="22"/>
          <w:rtl/>
        </w:rPr>
        <w:t xml:space="preserve">3.4 מדד הבסיס יהיה </w:t>
      </w:r>
      <w:r>
        <w:rPr>
          <w:rFonts w:ascii="Arial" w:cs="Arial" w:eastAsia="Arial" w:hAnsi="Arial"/>
          <w:sz w:val="22"/>
          <w:szCs w:val="22"/>
          <w:shd w:fill="D9D9D9" w:color="auto" w:val="clear"/>
          <w:rtl/>
        </w:rPr>
        <w:t xml:space="preserve">[המדד הידוע ביום חתימת החוזה]</w:t>
      </w:r>
      <w:r>
        <w:rPr>
          <w:rFonts w:ascii="Arial" w:cs="Arial" w:eastAsia="Arial" w:hAnsi="Arial"/>
          <w:sz w:val="22"/>
          <w:szCs w:val="22"/>
          <w:rtl/>
        </w:rPr>
        <w:t xml:space="preserve">. המוכר יצרף לכל דרישת תשלום חישוב מפורט של הפרשי ההצמדה.</w:t>
      </w:r>
    </w:p>
    <w:p>
      <w:pPr>
        <w:pStyle w:val="Heading1"/>
        <w:bidi/>
      </w:pPr>
      <w:r>
        <w:rPr>
          <w:rFonts w:ascii="Arial" w:cs="Arial" w:eastAsia="Arial" w:hAnsi="Arial"/>
          <w:b/>
          <w:bCs/>
          <w:sz w:val="32"/>
          <w:szCs w:val="32"/>
          <w:rtl/>
        </w:rPr>
        <w:t xml:space="preserve">4. מפרט, שינויים ודיירים</w:t>
      </w:r>
    </w:p>
    <w:p>
      <w:pPr>
        <w:pStyle w:val="ListParagraph"/>
        <w:numPr>
          <w:ilvl w:val="0"/>
          <w:numId w:val="5"/>
        </w:numPr>
        <w:bidi/>
        <w:spacing w:after="80" w:line="300"/>
      </w:pPr>
      <w:r>
        <w:rPr>
          <w:rFonts w:ascii="Arial" w:cs="Arial" w:eastAsia="Arial" w:hAnsi="Arial"/>
          <w:sz w:val="22"/>
          <w:szCs w:val="22"/>
          <w:rtl/>
        </w:rPr>
        <w:t xml:space="preserve">4.1 המפרט המצורף לחוזה ערוך לפי הטופס שנקבע בצו לפי סעיף 3 לחוק המכר (דירות), וכל פרט בו מולא במדויק או סומן "לא רלוונטי".</w:t>
      </w:r>
    </w:p>
    <w:p>
      <w:pPr>
        <w:pStyle w:val="ListParagraph"/>
        <w:numPr>
          <w:ilvl w:val="0"/>
          <w:numId w:val="5"/>
        </w:numPr>
        <w:bidi/>
        <w:spacing w:after="80" w:line="300"/>
      </w:pPr>
      <w:r>
        <w:rPr>
          <w:rFonts w:ascii="Arial" w:cs="Arial" w:eastAsia="Arial" w:hAnsi="Arial"/>
          <w:sz w:val="22"/>
          <w:szCs w:val="22"/>
          <w:rtl/>
        </w:rPr>
        <w:t xml:space="preserve">4.2 כל שינוי במפרט ייעשה רק במסמך שנחתם על ידי שני הצדדים (סעיף 2(ב) לחוק).</w:t>
      </w:r>
    </w:p>
    <w:p>
      <w:pPr>
        <w:pStyle w:val="ListParagraph"/>
        <w:numPr>
          <w:ilvl w:val="0"/>
          <w:numId w:val="5"/>
        </w:numPr>
        <w:bidi/>
        <w:spacing w:after="80" w:line="300"/>
      </w:pPr>
      <w:r>
        <w:rPr>
          <w:rFonts w:ascii="Arial" w:cs="Arial" w:eastAsia="Arial" w:hAnsi="Arial"/>
          <w:sz w:val="22"/>
          <w:szCs w:val="22"/>
          <w:rtl/>
        </w:rPr>
        <w:t xml:space="preserve">4.3 המוכר לא ישנה את תכנון הדירה, שטחה, כיווניה או הרכוש המשותף הצמוד אליה, ולא יגיש בקשה לשינוי ההיתר שמשנה אותם, בלי הסכמת הקונה בכתב. שינוי שנדרש על פי דין יימסר לקונה בכתב מיד.</w:t>
      </w:r>
    </w:p>
    <w:p>
      <w:pPr>
        <w:pStyle w:val="ListParagraph"/>
        <w:numPr>
          <w:ilvl w:val="0"/>
          <w:numId w:val="5"/>
        </w:numPr>
        <w:bidi/>
        <w:spacing w:after="80" w:line="300"/>
      </w:pPr>
      <w:r>
        <w:rPr>
          <w:rFonts w:ascii="Arial" w:cs="Arial" w:eastAsia="Arial" w:hAnsi="Arial"/>
          <w:sz w:val="22"/>
          <w:szCs w:val="22"/>
          <w:rtl/>
        </w:rPr>
        <w:t xml:space="preserve">4.4 זיכוי על פריטים שהקונה ויתר עליהם יהיה לפי מחירון הפריטים המתומחרים במפרט. שינויי דיירים יתומחרו מראש ובכתב, ולא יעכבו את מועד המסירה אלא בהסכמה.</w:t>
      </w:r>
    </w:p>
    <w:p>
      <w:pPr>
        <w:pStyle w:val="ListParagraph"/>
        <w:numPr>
          <w:ilvl w:val="0"/>
          <w:numId w:val="5"/>
        </w:numPr>
        <w:bidi/>
        <w:spacing w:after="80" w:line="300"/>
      </w:pPr>
      <w:r>
        <w:rPr>
          <w:rFonts w:ascii="Arial" w:cs="Arial" w:eastAsia="Arial" w:hAnsi="Arial"/>
          <w:sz w:val="22"/>
          <w:szCs w:val="22"/>
          <w:rtl/>
        </w:rPr>
        <w:t xml:space="preserve">4.5 שטח הדירה יימדד לפי שיטת המדידה שבמפרט. סטייה מעבר ל-</w:t>
      </w:r>
      <w:r>
        <w:rPr>
          <w:rFonts w:ascii="Arial" w:cs="Arial" w:eastAsia="Arial" w:hAnsi="Arial"/>
          <w:sz w:val="22"/>
          <w:szCs w:val="22"/>
          <w:shd w:fill="D9D9D9" w:color="auto" w:val="clear"/>
          <w:rtl/>
        </w:rPr>
        <w:t xml:space="preserve">[אחוז]</w:t>
      </w:r>
      <w:r>
        <w:rPr>
          <w:rFonts w:ascii="Arial" w:cs="Arial" w:eastAsia="Arial" w:hAnsi="Arial"/>
          <w:sz w:val="22"/>
          <w:szCs w:val="22"/>
          <w:rtl/>
        </w:rPr>
        <w:t xml:space="preserve">% תזכה את הקונה בהפחתה יחסית של המחיר.</w:t>
      </w:r>
    </w:p>
    <w:p>
      <w:pPr>
        <w:pStyle w:val="Heading1"/>
        <w:bidi/>
      </w:pPr>
      <w:r>
        <w:rPr>
          <w:rFonts w:ascii="Arial" w:cs="Arial" w:eastAsia="Arial" w:hAnsi="Arial"/>
          <w:b/>
          <w:bCs/>
          <w:sz w:val="32"/>
          <w:szCs w:val="32"/>
          <w:rtl/>
        </w:rPr>
        <w:t xml:space="preserve">5. חניה, מחסן והצמדות</w:t>
      </w:r>
    </w:p>
    <w:p>
      <w:pPr>
        <w:pStyle w:val="ListParagraph"/>
        <w:numPr>
          <w:ilvl w:val="0"/>
          <w:numId w:val="6"/>
        </w:numPr>
        <w:bidi/>
        <w:spacing w:after="80" w:line="300"/>
      </w:pPr>
      <w:r>
        <w:rPr>
          <w:rFonts w:ascii="Arial" w:cs="Arial" w:eastAsia="Arial" w:hAnsi="Arial"/>
          <w:sz w:val="22"/>
          <w:szCs w:val="22"/>
          <w:rtl/>
        </w:rPr>
        <w:t xml:space="preserve">5.1 לדירה יוצמדו חניה מס׳ </w:t>
      </w:r>
      <w:r>
        <w:rPr>
          <w:rFonts w:ascii="Arial" w:cs="Arial" w:eastAsia="Arial" w:hAnsi="Arial"/>
          <w:sz w:val="22"/>
          <w:szCs w:val="22"/>
          <w:shd w:fill="D9D9D9" w:color="auto" w:val="clear"/>
          <w:rtl/>
        </w:rPr>
        <w:t xml:space="preserve">[מספר]</w:t>
      </w:r>
      <w:r>
        <w:rPr>
          <w:rFonts w:ascii="Arial" w:cs="Arial" w:eastAsia="Arial" w:hAnsi="Arial"/>
          <w:sz w:val="22"/>
          <w:szCs w:val="22"/>
          <w:rtl/>
        </w:rPr>
        <w:t xml:space="preserve"> ומחסן מס׳ </w:t>
      </w:r>
      <w:r>
        <w:rPr>
          <w:rFonts w:ascii="Arial" w:cs="Arial" w:eastAsia="Arial" w:hAnsi="Arial"/>
          <w:sz w:val="22"/>
          <w:szCs w:val="22"/>
          <w:shd w:fill="D9D9D9" w:color="auto" w:val="clear"/>
          <w:rtl/>
        </w:rPr>
        <w:t xml:space="preserve">[מספר]</w:t>
      </w:r>
      <w:r>
        <w:rPr>
          <w:rFonts w:ascii="Arial" w:cs="Arial" w:eastAsia="Arial" w:hAnsi="Arial"/>
          <w:sz w:val="22"/>
          <w:szCs w:val="22"/>
          <w:rtl/>
        </w:rPr>
        <w:t xml:space="preserve"> בשטח </w:t>
      </w:r>
      <w:r>
        <w:rPr>
          <w:rFonts w:ascii="Arial" w:cs="Arial" w:eastAsia="Arial" w:hAnsi="Arial"/>
          <w:sz w:val="22"/>
          <w:szCs w:val="22"/>
          <w:shd w:fill="D9D9D9" w:color="auto" w:val="clear"/>
          <w:rtl/>
        </w:rPr>
        <w:t xml:space="preserve">[מ״ר]</w:t>
      </w:r>
      <w:r>
        <w:rPr>
          <w:rFonts w:ascii="Arial" w:cs="Arial" w:eastAsia="Arial" w:hAnsi="Arial"/>
          <w:sz w:val="22"/>
          <w:szCs w:val="22"/>
          <w:rtl/>
        </w:rPr>
        <w:t xml:space="preserve">, כמסומן בתשריט המצורף לחוזה וחתום על ידי הצדדים.</w:t>
      </w:r>
    </w:p>
    <w:p>
      <w:pPr>
        <w:pStyle w:val="ListParagraph"/>
        <w:numPr>
          <w:ilvl w:val="0"/>
          <w:numId w:val="6"/>
        </w:numPr>
        <w:bidi/>
        <w:spacing w:after="80" w:line="300"/>
      </w:pPr>
      <w:r>
        <w:rPr>
          <w:rFonts w:ascii="Arial" w:cs="Arial" w:eastAsia="Arial" w:hAnsi="Arial"/>
          <w:sz w:val="22"/>
          <w:szCs w:val="22"/>
          <w:rtl/>
        </w:rPr>
        <w:t xml:space="preserve">5.2 המוכר לא ישנה את מיקום החניה או המחסן ולא יצמיד אותם לדירה אחרת. ההצמדות יירשמו בצו רישום הבית המשותף כפי שסומנו בתשריט.</w:t>
      </w:r>
    </w:p>
    <w:p>
      <w:pPr>
        <w:pStyle w:val="ListParagraph"/>
        <w:numPr>
          <w:ilvl w:val="0"/>
          <w:numId w:val="6"/>
        </w:numPr>
        <w:bidi/>
        <w:spacing w:after="80" w:line="300"/>
      </w:pPr>
      <w:r>
        <w:rPr>
          <w:rFonts w:ascii="Arial" w:cs="Arial" w:eastAsia="Arial" w:hAnsi="Arial"/>
          <w:sz w:val="22"/>
          <w:szCs w:val="22"/>
          <w:rtl/>
        </w:rPr>
        <w:t xml:space="preserve">5.3 שטחים שהמוכר מבקש להוציא מהרכוש המשותף (גגות, חצרות, חניות נוספות) יפורטו במפרט ובתשריט כבר במועד החתימה, כנדרש בסעיף 6 לחוק המכר (דירות).</w:t>
      </w:r>
    </w:p>
    <w:p>
      <w:pPr>
        <w:pStyle w:val="Heading1"/>
        <w:bidi/>
      </w:pPr>
      <w:r>
        <w:rPr>
          <w:rFonts w:ascii="Arial" w:cs="Arial" w:eastAsia="Arial" w:hAnsi="Arial"/>
          <w:b/>
          <w:bCs/>
          <w:sz w:val="32"/>
          <w:szCs w:val="32"/>
          <w:rtl/>
        </w:rPr>
        <w:t xml:space="preserve">6. רישום הזכויות</w:t>
      </w:r>
    </w:p>
    <w:p>
      <w:pPr>
        <w:pStyle w:val="ListParagraph"/>
        <w:numPr>
          <w:ilvl w:val="0"/>
          <w:numId w:val="7"/>
        </w:numPr>
        <w:bidi/>
        <w:spacing w:after="80" w:line="300"/>
      </w:pPr>
      <w:r>
        <w:rPr>
          <w:rFonts w:ascii="Arial" w:cs="Arial" w:eastAsia="Arial" w:hAnsi="Arial"/>
          <w:sz w:val="22"/>
          <w:szCs w:val="22"/>
          <w:rtl/>
        </w:rPr>
        <w:t xml:space="preserve">6.1 המוכר ירשום את הבית כבית משותף ואת זכויות הקונה בלשכת רישום המקרקעין במועדים הקבועים בסעיף 6ב לחוק המכר (דירות), ויעדכן את הקונה בכתב על התקדמות הרישום אחת ל-</w:t>
      </w:r>
      <w:r>
        <w:rPr>
          <w:rFonts w:ascii="Arial" w:cs="Arial" w:eastAsia="Arial" w:hAnsi="Arial"/>
          <w:sz w:val="22"/>
          <w:szCs w:val="22"/>
          <w:shd w:fill="D9D9D9" w:color="auto" w:val="clear"/>
          <w:rtl/>
        </w:rPr>
        <w:t xml:space="preserve">[מספר]</w:t>
      </w:r>
      <w:r>
        <w:rPr>
          <w:rFonts w:ascii="Arial" w:cs="Arial" w:eastAsia="Arial" w:hAnsi="Arial"/>
          <w:sz w:val="22"/>
          <w:szCs w:val="22"/>
          <w:rtl/>
        </w:rPr>
        <w:t xml:space="preserve"> חודשים.</w:t>
      </w:r>
    </w:p>
    <w:p>
      <w:pPr>
        <w:pStyle w:val="ListParagraph"/>
        <w:numPr>
          <w:ilvl w:val="0"/>
          <w:numId w:val="7"/>
        </w:numPr>
        <w:bidi/>
        <w:spacing w:after="80" w:line="300"/>
      </w:pPr>
      <w:r>
        <w:rPr>
          <w:rFonts w:ascii="Arial" w:cs="Arial" w:eastAsia="Arial" w:hAnsi="Arial"/>
          <w:sz w:val="22"/>
          <w:szCs w:val="22"/>
          <w:rtl/>
        </w:rPr>
        <w:t xml:space="preserve">6.2 עד הרישום תירשם לטובת הקונה הערת אזהרה, והמוכר ימציא אישור על רישומה תוך </w:t>
      </w:r>
      <w:r>
        <w:rPr>
          <w:rFonts w:ascii="Arial" w:cs="Arial" w:eastAsia="Arial" w:hAnsi="Arial"/>
          <w:sz w:val="22"/>
          <w:szCs w:val="22"/>
          <w:shd w:fill="D9D9D9" w:color="auto" w:val="clear"/>
          <w:rtl/>
        </w:rPr>
        <w:t xml:space="preserve">[מספר]</w:t>
      </w:r>
      <w:r>
        <w:rPr>
          <w:rFonts w:ascii="Arial" w:cs="Arial" w:eastAsia="Arial" w:hAnsi="Arial"/>
          <w:sz w:val="22"/>
          <w:szCs w:val="22"/>
          <w:rtl/>
        </w:rPr>
        <w:t xml:space="preserve"> ימים מהחתימה ומתשלום </w:t>
      </w:r>
      <w:r>
        <w:rPr>
          <w:rFonts w:ascii="Arial" w:cs="Arial" w:eastAsia="Arial" w:hAnsi="Arial"/>
          <w:sz w:val="22"/>
          <w:szCs w:val="22"/>
          <w:shd w:fill="D9D9D9" w:color="auto" w:val="clear"/>
          <w:rtl/>
        </w:rPr>
        <w:t xml:space="preserve">[סכום]</w:t>
      </w:r>
      <w:r>
        <w:rPr>
          <w:rFonts w:ascii="Arial" w:cs="Arial" w:eastAsia="Arial" w:hAnsi="Arial"/>
          <w:sz w:val="22"/>
          <w:szCs w:val="22"/>
          <w:rtl/>
        </w:rPr>
        <w:t xml:space="preserve">.</w:t>
      </w:r>
    </w:p>
    <w:p>
      <w:pPr>
        <w:pStyle w:val="ListParagraph"/>
        <w:numPr>
          <w:ilvl w:val="0"/>
          <w:numId w:val="7"/>
        </w:numPr>
        <w:bidi/>
        <w:spacing w:after="80" w:line="300"/>
      </w:pPr>
      <w:r>
        <w:rPr>
          <w:rFonts w:ascii="Arial" w:cs="Arial" w:eastAsia="Arial" w:hAnsi="Arial"/>
          <w:sz w:val="22"/>
          <w:szCs w:val="22"/>
          <w:rtl/>
        </w:rPr>
        <w:t xml:space="preserve">6.3 עיכוב ברישום שנגרם בשל המוכר יזכה את הקונה ב-</w:t>
      </w:r>
      <w:r>
        <w:rPr>
          <w:rFonts w:ascii="Arial" w:cs="Arial" w:eastAsia="Arial" w:hAnsi="Arial"/>
          <w:sz w:val="22"/>
          <w:szCs w:val="22"/>
          <w:shd w:fill="D9D9D9" w:color="auto" w:val="clear"/>
          <w:rtl/>
        </w:rPr>
        <w:t xml:space="preserve">[פיצוי מוסכם / סעד שיוסכם]</w:t>
      </w:r>
      <w:r>
        <w:rPr>
          <w:rFonts w:ascii="Arial" w:cs="Arial" w:eastAsia="Arial" w:hAnsi="Arial"/>
          <w:sz w:val="22"/>
          <w:szCs w:val="22"/>
          <w:rtl/>
        </w:rPr>
        <w:t xml:space="preserve">.</w:t>
      </w:r>
    </w:p>
    <w:p>
      <w:pPr>
        <w:pStyle w:val="Heading1"/>
        <w:bidi/>
      </w:pPr>
      <w:r>
        <w:rPr>
          <w:rFonts w:ascii="Arial" w:cs="Arial" w:eastAsia="Arial" w:hAnsi="Arial"/>
          <w:b/>
          <w:bCs/>
          <w:sz w:val="32"/>
          <w:szCs w:val="32"/>
          <w:rtl/>
        </w:rPr>
        <w:t xml:space="preserve">7. שכר טרחת עורך הדין של המוכר והוצאות</w:t>
      </w:r>
    </w:p>
    <w:p>
      <w:pPr>
        <w:pStyle w:val="ListParagraph"/>
        <w:numPr>
          <w:ilvl w:val="0"/>
          <w:numId w:val="8"/>
        </w:numPr>
        <w:bidi/>
        <w:spacing w:after="80" w:line="300"/>
      </w:pPr>
      <w:r>
        <w:rPr>
          <w:rFonts w:ascii="Arial" w:cs="Arial" w:eastAsia="Arial" w:hAnsi="Arial"/>
          <w:sz w:val="22"/>
          <w:szCs w:val="22"/>
          <w:rtl/>
        </w:rPr>
        <w:t xml:space="preserve">7.1 השתתפות הקונה בהוצאות המשפטיות של המוכר לא תעלה על התקרה שנקבעה בתקנות לפי סעיף 6ג לחוק המכר (דירות), ובכל מקרה לא תעלה על </w:t>
      </w:r>
      <w:r>
        <w:rPr>
          <w:rFonts w:ascii="Arial" w:cs="Arial" w:eastAsia="Arial" w:hAnsi="Arial"/>
          <w:sz w:val="22"/>
          <w:szCs w:val="22"/>
          <w:shd w:fill="D9D9D9" w:color="auto" w:val="clear"/>
          <w:rtl/>
        </w:rPr>
        <w:t xml:space="preserve">[סכום]</w:t>
      </w:r>
      <w:r>
        <w:rPr>
          <w:rFonts w:ascii="Arial" w:cs="Arial" w:eastAsia="Arial" w:hAnsi="Arial"/>
          <w:sz w:val="22"/>
          <w:szCs w:val="22"/>
          <w:rtl/>
        </w:rPr>
        <w:t xml:space="preserve"> בתוספת מע״מ, גם אם התקרה שבתקנות אינה חלה על הדירה בשל מחירה. התשלום ייעשה ישירות לעורך הדין כנגד חשבונית.</w:t>
      </w:r>
    </w:p>
    <w:p>
      <w:pPr>
        <w:pStyle w:val="ListParagraph"/>
        <w:numPr>
          <w:ilvl w:val="0"/>
          <w:numId w:val="8"/>
        </w:numPr>
        <w:bidi/>
        <w:spacing w:after="80" w:line="300"/>
      </w:pPr>
      <w:r>
        <w:rPr>
          <w:rFonts w:ascii="Arial" w:cs="Arial" w:eastAsia="Arial" w:hAnsi="Arial"/>
          <w:sz w:val="22"/>
          <w:szCs w:val="22"/>
          <w:rtl/>
        </w:rPr>
        <w:t xml:space="preserve">7.2 הקונה לא יישא בכל תשלום נוסף עבור "טיפול", "פתיחת תיק", "ניהול" או רישום, מעבר למפורש בחוזה.</w:t>
      </w:r>
    </w:p>
    <w:p>
      <w:pPr>
        <w:pStyle w:val="ListParagraph"/>
        <w:numPr>
          <w:ilvl w:val="0"/>
          <w:numId w:val="8"/>
        </w:numPr>
        <w:bidi/>
        <w:spacing w:after="80" w:line="300"/>
      </w:pPr>
      <w:r>
        <w:rPr>
          <w:rFonts w:ascii="Arial" w:cs="Arial" w:eastAsia="Arial" w:hAnsi="Arial"/>
          <w:sz w:val="22"/>
          <w:szCs w:val="22"/>
          <w:rtl/>
        </w:rPr>
        <w:t xml:space="preserve">7.3 הצדדים מאשרים כי עורך הדין של המוכר מייצג את המוכר בלבד, וכי לקונה עורך דין משלו: </w:t>
      </w:r>
      <w:r>
        <w:rPr>
          <w:rFonts w:ascii="Arial" w:cs="Arial" w:eastAsia="Arial" w:hAnsi="Arial"/>
          <w:sz w:val="22"/>
          <w:szCs w:val="22"/>
          <w:shd w:fill="D9D9D9" w:color="auto" w:val="clear"/>
          <w:rtl/>
        </w:rPr>
        <w:t xml:space="preserve">[שם עורך הדין של הקונה]</w:t>
      </w:r>
      <w:r>
        <w:rPr>
          <w:rFonts w:ascii="Arial" w:cs="Arial" w:eastAsia="Arial" w:hAnsi="Arial"/>
          <w:sz w:val="22"/>
          <w:szCs w:val="22"/>
          <w:rtl/>
        </w:rPr>
        <w:t xml:space="preserve">.</w:t>
      </w:r>
    </w:p>
    <w:p>
      <w:pPr>
        <w:pStyle w:val="Heading1"/>
        <w:bidi/>
      </w:pPr>
      <w:r>
        <w:rPr>
          <w:rFonts w:ascii="Arial" w:cs="Arial" w:eastAsia="Arial" w:hAnsi="Arial"/>
          <w:b/>
          <w:bCs/>
          <w:sz w:val="32"/>
          <w:szCs w:val="32"/>
          <w:rtl/>
        </w:rPr>
        <w:t xml:space="preserve">8. בדק, אחריות, ביטול והסבה</w:t>
      </w:r>
    </w:p>
    <w:p>
      <w:pPr>
        <w:pStyle w:val="ListParagraph"/>
        <w:numPr>
          <w:ilvl w:val="0"/>
          <w:numId w:val="9"/>
        </w:numPr>
        <w:bidi/>
        <w:spacing w:after="80" w:line="300"/>
      </w:pPr>
      <w:r>
        <w:rPr>
          <w:rFonts w:ascii="Arial" w:cs="Arial" w:eastAsia="Arial" w:hAnsi="Arial"/>
          <w:sz w:val="22"/>
          <w:szCs w:val="22"/>
          <w:rtl/>
        </w:rPr>
        <w:t xml:space="preserve">8.1 אין בחוזה כדי לקצר את תקופות הבדק והאחריות שבחוק המכר (דירות) או את זכויות הקונה לגבי אי-התאמה.</w:t>
      </w:r>
    </w:p>
    <w:p>
      <w:pPr>
        <w:pStyle w:val="ListParagraph"/>
        <w:numPr>
          <w:ilvl w:val="0"/>
          <w:numId w:val="9"/>
        </w:numPr>
        <w:bidi/>
        <w:spacing w:after="80" w:line="300"/>
      </w:pPr>
      <w:r>
        <w:rPr>
          <w:rFonts w:ascii="Arial" w:cs="Arial" w:eastAsia="Arial" w:hAnsi="Arial"/>
          <w:sz w:val="22"/>
          <w:szCs w:val="22"/>
          <w:rtl/>
        </w:rPr>
        <w:t xml:space="preserve">8.2 הפיצוי המוסכם בגין הפרה יהיה שווה לשני הצדדים, ולא יוטל על הקונה פיצוי בשל איחור קצר בתשלום שתוקן תוך </w:t>
      </w:r>
      <w:r>
        <w:rPr>
          <w:rFonts w:ascii="Arial" w:cs="Arial" w:eastAsia="Arial" w:hAnsi="Arial"/>
          <w:sz w:val="22"/>
          <w:szCs w:val="22"/>
          <w:shd w:fill="D9D9D9" w:color="auto" w:val="clear"/>
          <w:rtl/>
        </w:rPr>
        <w:t xml:space="preserve">[מספר]</w:t>
      </w:r>
      <w:r>
        <w:rPr>
          <w:rFonts w:ascii="Arial" w:cs="Arial" w:eastAsia="Arial" w:hAnsi="Arial"/>
          <w:sz w:val="22"/>
          <w:szCs w:val="22"/>
          <w:rtl/>
        </w:rPr>
        <w:t xml:space="preserve"> ימים מהתראה בכתב.</w:t>
      </w:r>
    </w:p>
    <w:p>
      <w:pPr>
        <w:pStyle w:val="ListParagraph"/>
        <w:numPr>
          <w:ilvl w:val="0"/>
          <w:numId w:val="9"/>
        </w:numPr>
        <w:bidi/>
        <w:spacing w:after="80" w:line="300"/>
      </w:pPr>
      <w:r>
        <w:rPr>
          <w:rFonts w:ascii="Arial" w:cs="Arial" w:eastAsia="Arial" w:hAnsi="Arial"/>
          <w:sz w:val="22"/>
          <w:szCs w:val="22"/>
          <w:rtl/>
        </w:rPr>
        <w:t xml:space="preserve">8.3 הקונה רשאי להסב את זכויותיו לפני המסירה בכפוף להודעה למוכר, ודמי הטיפול להסבה לא יעלו על </w:t>
      </w:r>
      <w:r>
        <w:rPr>
          <w:rFonts w:ascii="Arial" w:cs="Arial" w:eastAsia="Arial" w:hAnsi="Arial"/>
          <w:sz w:val="22"/>
          <w:szCs w:val="22"/>
          <w:shd w:fill="D9D9D9" w:color="auto" w:val="clear"/>
          <w:rtl/>
        </w:rPr>
        <w:t xml:space="preserve">[סכום]</w:t>
      </w:r>
      <w:r>
        <w:rPr>
          <w:rFonts w:ascii="Arial" w:cs="Arial" w:eastAsia="Arial" w:hAnsi="Arial"/>
          <w:sz w:val="22"/>
          <w:szCs w:val="22"/>
          <w:rtl/>
        </w:rPr>
        <w:t xml:space="preserve">.</w:t>
      </w:r>
    </w:p>
    <w:p>
      <w:pPr>
        <w:pStyle w:val="Heading1"/>
        <w:bidi/>
      </w:pPr>
      <w:r>
        <w:rPr>
          <w:rFonts w:ascii="Arial" w:cs="Arial" w:eastAsia="Arial" w:hAnsi="Arial"/>
          <w:b/>
          <w:bCs/>
          <w:sz w:val="32"/>
          <w:szCs w:val="32"/>
          <w:rtl/>
        </w:rPr>
        <w:t xml:space="preserve">9. התשלום האחרון ותנאי המסירה</w:t>
      </w:r>
    </w:p>
    <w:p>
      <w:pPr>
        <w:pStyle w:val="ListParagraph"/>
        <w:numPr>
          <w:ilvl w:val="0"/>
          <w:numId w:val="10"/>
        </w:numPr>
        <w:bidi/>
        <w:spacing w:after="80" w:line="300"/>
      </w:pPr>
      <w:r>
        <w:rPr>
          <w:rFonts w:ascii="Arial" w:cs="Arial" w:eastAsia="Arial" w:hAnsi="Arial"/>
          <w:sz w:val="22"/>
          <w:szCs w:val="22"/>
          <w:rtl/>
        </w:rPr>
        <w:t xml:space="preserve">9.1 התשלום האחרון על חשבון המחיר (בשיעור של </w:t>
      </w:r>
      <w:r>
        <w:rPr>
          <w:rFonts w:ascii="Arial" w:cs="Arial" w:eastAsia="Arial" w:hAnsi="Arial"/>
          <w:sz w:val="22"/>
          <w:szCs w:val="22"/>
          <w:shd w:fill="D9D9D9" w:color="auto" w:val="clear"/>
          <w:rtl/>
        </w:rPr>
        <w:t xml:space="preserve">[אחוז]</w:t>
      </w:r>
      <w:r>
        <w:rPr>
          <w:rFonts w:ascii="Arial" w:cs="Arial" w:eastAsia="Arial" w:hAnsi="Arial"/>
          <w:sz w:val="22"/>
          <w:szCs w:val="22"/>
          <w:rtl/>
        </w:rPr>
        <w:t xml:space="preserve">% לפחות) ישולם רק לאחר שהמוכר המציא לקונה העתק של אישור אכלוס (טופס 4) לבניין, ושהדירה חוברה בפועל לרשתות החשמל, המים, הגז והביוב.</w:t>
      </w:r>
    </w:p>
    <w:p>
      <w:pPr>
        <w:pStyle w:val="ListParagraph"/>
        <w:numPr>
          <w:ilvl w:val="0"/>
          <w:numId w:val="10"/>
        </w:numPr>
        <w:bidi/>
        <w:spacing w:after="80" w:line="300"/>
      </w:pPr>
      <w:r>
        <w:rPr>
          <w:rFonts w:ascii="Arial" w:cs="Arial" w:eastAsia="Arial" w:hAnsi="Arial"/>
          <w:sz w:val="22"/>
          <w:szCs w:val="22"/>
          <w:rtl/>
        </w:rPr>
        <w:t xml:space="preserve">9.2 המוכר ימציא לקונה העתק של תעודת הגמר לבניין מיד עם קבלתה.</w:t>
      </w:r>
    </w:p>
    <w:p>
      <w:pPr>
        <w:pStyle w:val="ListParagraph"/>
        <w:numPr>
          <w:ilvl w:val="0"/>
          <w:numId w:val="10"/>
        </w:numPr>
        <w:bidi/>
        <w:spacing w:after="80" w:line="300"/>
      </w:pPr>
      <w:r>
        <w:rPr>
          <w:rFonts w:ascii="Arial" w:cs="Arial" w:eastAsia="Arial" w:hAnsi="Arial"/>
          <w:sz w:val="22"/>
          <w:szCs w:val="22"/>
          <w:rtl/>
        </w:rPr>
        <w:t xml:space="preserve">9.3 לא יידרש הקונה לקבל את החזקה בדירה לפני שהתקיימו התנאים שבסעיף 9.1.</w:t>
      </w:r>
    </w:p>
    <w:p>
      <w:pPr>
        <w:pStyle w:val="Heading1"/>
        <w:bidi/>
      </w:pPr>
      <w:r>
        <w:rPr>
          <w:rFonts w:ascii="Arial" w:cs="Arial" w:eastAsia="Arial" w:hAnsi="Arial"/>
          <w:b/>
          <w:bCs/>
          <w:sz w:val="32"/>
          <w:szCs w:val="32"/>
          <w:rtl/>
        </w:rPr>
        <w:t xml:space="preserve">10. מסים, היטלים ותשלומי חובה</w:t>
      </w:r>
    </w:p>
    <w:p>
      <w:pPr>
        <w:pStyle w:val="ListParagraph"/>
        <w:numPr>
          <w:ilvl w:val="0"/>
          <w:numId w:val="11"/>
        </w:numPr>
        <w:bidi/>
        <w:spacing w:after="80" w:line="300"/>
      </w:pPr>
      <w:r>
        <w:rPr>
          <w:rFonts w:ascii="Arial" w:cs="Arial" w:eastAsia="Arial" w:hAnsi="Arial"/>
          <w:sz w:val="22"/>
          <w:szCs w:val="22"/>
          <w:rtl/>
        </w:rPr>
        <w:t xml:space="preserve">10.1 המוכר יישא במס השבח, בהיטלי ההשבחה, בהיטלי הפיתוח ובאגרות הבנייה, וכן בהוצאות החיבור של הבניין והדירה לרשתות החשמל, המים, הגז והביוב, ככל שאלה חלים עד מועד המסירה.</w:t>
      </w:r>
    </w:p>
    <w:p>
      <w:pPr>
        <w:pStyle w:val="ListParagraph"/>
        <w:numPr>
          <w:ilvl w:val="0"/>
          <w:numId w:val="11"/>
        </w:numPr>
        <w:bidi/>
        <w:spacing w:after="80" w:line="300"/>
      </w:pPr>
      <w:r>
        <w:rPr>
          <w:rFonts w:ascii="Arial" w:cs="Arial" w:eastAsia="Arial" w:hAnsi="Arial"/>
          <w:sz w:val="22"/>
          <w:szCs w:val="22"/>
          <w:rtl/>
        </w:rPr>
        <w:t xml:space="preserve">10.2 הקונה יישא במס הרכישה בלבד, ובתשלומי החובה השוטפים על הדירה (ארנונה, מים, ועד בית) מיום מסירת החזקה בפועל.</w:t>
      </w:r>
    </w:p>
    <w:p>
      <w:pPr>
        <w:pStyle w:val="ListParagraph"/>
        <w:numPr>
          <w:ilvl w:val="0"/>
          <w:numId w:val="11"/>
        </w:numPr>
        <w:bidi/>
        <w:spacing w:after="80" w:line="300"/>
      </w:pPr>
      <w:r>
        <w:rPr>
          <w:rFonts w:ascii="Arial" w:cs="Arial" w:eastAsia="Arial" w:hAnsi="Arial"/>
          <w:sz w:val="22"/>
          <w:szCs w:val="22"/>
          <w:rtl/>
        </w:rPr>
        <w:t xml:space="preserve">10.3 כל תשלום שהמוכר מבקש לגבות מהקונה בנוסף למחיר יפורט בחוזה בסכום ובמהותו, ולא ייגבה תשלום שלא פורט כך.</w:t>
      </w:r>
    </w:p>
    <w:p>
      <w:pPr>
        <w:pStyle w:val="Heading1"/>
        <w:bidi/>
      </w:pPr>
      <w:r>
        <w:rPr>
          <w:rFonts w:ascii="Arial" w:cs="Arial" w:eastAsia="Arial" w:hAnsi="Arial"/>
          <w:b/>
          <w:bCs/>
          <w:sz w:val="32"/>
          <w:szCs w:val="32"/>
          <w:rtl/>
        </w:rPr>
        <w:t xml:space="preserve">11. ניהול הבית המשותף ושעבודים</w:t>
      </w:r>
    </w:p>
    <w:p>
      <w:pPr>
        <w:pStyle w:val="ListParagraph"/>
        <w:numPr>
          <w:ilvl w:val="0"/>
          <w:numId w:val="12"/>
        </w:numPr>
        <w:bidi/>
        <w:spacing w:after="80" w:line="300"/>
      </w:pPr>
      <w:r>
        <w:rPr>
          <w:rFonts w:ascii="Arial" w:cs="Arial" w:eastAsia="Arial" w:hAnsi="Arial"/>
          <w:sz w:val="22"/>
          <w:szCs w:val="22"/>
          <w:rtl/>
        </w:rPr>
        <w:t xml:space="preserve">11.1 המוכר יפעל למסירת ניהול הבית המשותף לנציגות שתיבחר על ידי בעלי הדירות, ויעביר לנציגות את יתרת דמי ההקמה או הכספים שנגבו לטובת הוועד, בצירוף פירוט השימוש בהם.</w:t>
      </w:r>
    </w:p>
    <w:p>
      <w:pPr>
        <w:pStyle w:val="ListParagraph"/>
        <w:numPr>
          <w:ilvl w:val="0"/>
          <w:numId w:val="12"/>
        </w:numPr>
        <w:bidi/>
        <w:spacing w:after="80" w:line="300"/>
      </w:pPr>
      <w:r>
        <w:rPr>
          <w:rFonts w:ascii="Arial" w:cs="Arial" w:eastAsia="Arial" w:hAnsi="Arial"/>
          <w:sz w:val="22"/>
          <w:szCs w:val="22"/>
          <w:rtl/>
        </w:rPr>
        <w:t xml:space="preserve">11.2 המוכר לא ימשכן, לא ישעבד ולא יעביר לצד שלישי את זכויותיו במקרקעין או בדירה, למעט השעבוד לטובת הבנק המלווה במסגרת הליווי הפיננסי, שממנו תוחרג הדירה במכתב החרגה שיימסר לקונה.</w:t>
      </w:r>
    </w:p>
    <w:p>
      <w:pPr>
        <w:pStyle w:val="ListParagraph"/>
        <w:numPr>
          <w:ilvl w:val="0"/>
          <w:numId w:val="12"/>
        </w:numPr>
        <w:bidi/>
        <w:spacing w:after="80" w:line="300"/>
      </w:pPr>
      <w:r>
        <w:rPr>
          <w:rFonts w:ascii="Arial" w:cs="Arial" w:eastAsia="Arial" w:hAnsi="Arial"/>
          <w:sz w:val="22"/>
          <w:szCs w:val="22"/>
          <w:rtl/>
        </w:rPr>
        <w:t xml:space="preserve">11.3 המוכר ימסור לקונה את הדירה כשהיא נקייה מכל שעבוד, עיקול או זכות של צד שלישי, למעט השעבוד לטובת הבנק המלווה שיוסר עם רישום הזכויות.</w:t>
      </w:r>
    </w:p>
    <w:p>
      <w:pPr>
        <w:pStyle w:val="Heading1"/>
        <w:bidi/>
      </w:pPr>
      <w:r>
        <w:rPr>
          <w:rFonts w:ascii="Arial" w:cs="Arial" w:eastAsia="Arial" w:hAnsi="Arial"/>
          <w:b/>
          <w:bCs/>
          <w:sz w:val="32"/>
          <w:szCs w:val="32"/>
          <w:rtl/>
        </w:rPr>
        <w:t xml:space="preserve">חתימות</w:t>
      </w:r>
    </w:p>
    <w:p>
      <w:pPr>
        <w:bidi/>
        <w:spacing w:after="120" w:line="300"/>
      </w:pPr>
      <w:r>
        <w:rPr>
          <w:rFonts w:ascii="Arial" w:cs="Arial" w:eastAsia="Arial" w:hAnsi="Arial"/>
          <w:sz w:val="22"/>
          <w:szCs w:val="22"/>
          <w:rtl/>
        </w:rPr>
        <w:t xml:space="preserve">המוכר: ____________ הקונה: ____________ תאריך: </w:t>
      </w:r>
      <w:r>
        <w:rPr>
          <w:rFonts w:ascii="Arial" w:cs="Arial" w:eastAsia="Arial" w:hAnsi="Arial"/>
          <w:sz w:val="22"/>
          <w:szCs w:val="22"/>
          <w:shd w:fill="D9D9D9" w:color="auto" w:val="clear"/>
          <w:rtl/>
        </w:rPr>
        <w:t xml:space="preserve">[תאריך]</w:t>
      </w:r>
    </w:p>
    <w:sectPr>
      <w:headerReference w:type="default" r:id="rId6"/>
      <w:footerReference w:type="default" r:id="rId7"/>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color w:val="666666"/>
        <w:sz w:val="16"/>
        <w:szCs w:val="16"/>
        <w:rtl/>
      </w:rPr>
      <w:t xml:space="preserve">partouche-law.com | עו״ד חיים פרטוש, מ״ר 63935 | 077-805-4838</w:t>
    </w:r>
    <w:r>
      <w:rPr>
        <w:rFonts w:ascii="Arial" w:cs="Arial" w:eastAsia="Arial" w:hAnsi="Arial"/>
        <w:color w:val="666666"/>
        <w:sz w:val="16"/>
        <w:szCs w:val="16"/>
        <w:rtl/>
      </w:rPr>
      <w:t xml:space="preserve">  |  עמוד </w:t>
    </w:r>
    <w:r>
      <w:rPr>
        <w:rFonts w:ascii="Arial" w:cs="Arial" w:eastAsia="Arial" w:hAnsi="Arial"/>
        <w:color w:val="666666"/>
        <w:sz w:val="16"/>
        <w:szCs w:val="16"/>
        <w:rtl/>
      </w:rPr>
      <w:fldChar w:fldCharType="begin"/>
    </w:r>
    <w:r>
      <w:rPr>
        <w:rFonts w:ascii="Arial" w:cs="Arial" w:eastAsia="Arial" w:hAnsi="Arial"/>
        <w:color w:val="666666"/>
        <w:sz w:val="16"/>
        <w:szCs w:val="16"/>
        <w:rtl/>
      </w:rPr>
      <w:instrText xml:space="preserve">PAGE</w:instrText>
    </w:r>
    <w:r>
      <w:rPr>
        <w:rFonts w:ascii="Arial" w:cs="Arial" w:eastAsia="Arial" w:hAnsi="Arial"/>
        <w:color w:val="666666"/>
        <w:sz w:val="16"/>
        <w:szCs w:val="16"/>
        <w:rtl/>
      </w:rPr>
      <w:fldChar w:fldCharType="separate"/>
    </w:r>
    <w:r>
      <w:rPr>
        <w:rFonts w:ascii="Arial" w:cs="Arial" w:eastAsia="Arial" w:hAnsi="Arial"/>
        <w:color w:val="666666"/>
        <w:sz w:val="16"/>
        <w:szCs w:val="16"/>
        <w:rtl/>
      </w:rPr>
      <w:fldChar w:fldCharType="end"/>
    </w:r>
    <w:r>
      <w:rPr>
        <w:rFonts w:ascii="Arial" w:cs="Arial" w:eastAsia="Arial" w:hAnsi="Arial"/>
        <w:color w:val="666666"/>
        <w:sz w:val="16"/>
        <w:szCs w:val="16"/>
        <w:rtl/>
      </w:rPr>
      <w:t xml:space="preserve"> מתוך </w:t>
    </w:r>
    <w:r>
      <w:rPr>
        <w:rFonts w:ascii="Arial" w:cs="Arial" w:eastAsia="Arial" w:hAnsi="Arial"/>
        <w:color w:val="666666"/>
        <w:sz w:val="16"/>
        <w:szCs w:val="16"/>
        <w:rtl/>
      </w:rPr>
      <w:fldChar w:fldCharType="begin"/>
    </w:r>
    <w:r>
      <w:rPr>
        <w:rFonts w:ascii="Arial" w:cs="Arial" w:eastAsia="Arial" w:hAnsi="Arial"/>
        <w:color w:val="666666"/>
        <w:sz w:val="16"/>
        <w:szCs w:val="16"/>
        <w:rtl/>
      </w:rPr>
      <w:instrText xml:space="preserve">NUMPAGES</w:instrText>
    </w:r>
    <w:r>
      <w:rPr>
        <w:rFonts w:ascii="Arial" w:cs="Arial" w:eastAsia="Arial" w:hAnsi="Arial"/>
        <w:color w:val="666666"/>
        <w:sz w:val="16"/>
        <w:szCs w:val="16"/>
        <w:rtl/>
      </w:rPr>
      <w:fldChar w:fldCharType="separate"/>
    </w:r>
    <w:r>
      <w:rPr>
        <w:rFonts w:ascii="Arial" w:cs="Arial" w:eastAsia="Arial" w:hAnsi="Arial"/>
        <w:color w:val="666666"/>
        <w:sz w:val="16"/>
        <w:szCs w:val="16"/>
        <w:rt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1" layoutInCell="1" relativeHeight="5400675">
          <wp:simplePos x="0" y="0"/>
          <wp:positionH relativeFrom="page">
            <wp:align>center</wp:align>
          </wp:positionH>
          <wp:positionV relativeFrom="page">
            <wp:align>center</wp:align>
          </wp:positionV>
          <wp:extent cx="5400675" cy="5400675"/>
          <wp:effectExtent t="0" r="0" b="0" l="0"/>
          <wp:wrapNone/>
          <wp:docPr id="4" name="watermark" descr="עו״ד חיים פרטוש" title="סימן מ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5400675" cy="540067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540" w:hanging="360"/>
      </w:pPr>
    </w:lvl>
  </w:abstractNum>
  <w:abstractNum w:abstractNumId="3" w15:restartNumberingAfterBreak="0">
    <w:multiLevelType w:val="hybridMultilevel"/>
    <w:lvl w:ilvl="0" w:tentative="1">
      <w:start w:val="1"/>
      <w:numFmt w:val="decimal"/>
      <w:lvlText w:val="%1."/>
      <w:lvlJc w:val="left"/>
      <w:pPr>
        <w:ind w:left="540" w:hanging="360"/>
      </w:pPr>
    </w:lvl>
  </w:abstractNum>
  <w:abstractNum w:abstractNumId="4" w15:restartNumberingAfterBreak="0">
    <w:multiLevelType w:val="hybridMultilevel"/>
    <w:lvl w:ilvl="0" w:tentative="1">
      <w:start w:val="1"/>
      <w:numFmt w:val="decimal"/>
      <w:lvlText w:val="%1."/>
      <w:lvlJc w:val="left"/>
      <w:pPr>
        <w:ind w:left="540" w:hanging="360"/>
      </w:pPr>
    </w:lvl>
  </w:abstractNum>
  <w:abstractNum w:abstractNumId="5" w15:restartNumberingAfterBreak="0">
    <w:multiLevelType w:val="hybridMultilevel"/>
    <w:lvl w:ilvl="0" w:tentative="1">
      <w:start w:val="1"/>
      <w:numFmt w:val="decimal"/>
      <w:lvlText w:val="%1."/>
      <w:lvlJc w:val="left"/>
      <w:pPr>
        <w:ind w:left="540" w:hanging="360"/>
      </w:pPr>
    </w:lvl>
  </w:abstractNum>
  <w:abstractNum w:abstractNumId="6" w15:restartNumberingAfterBreak="0">
    <w:multiLevelType w:val="hybridMultilevel"/>
    <w:lvl w:ilvl="0" w:tentative="1">
      <w:start w:val="1"/>
      <w:numFmt w:val="decimal"/>
      <w:lvlText w:val="%1."/>
      <w:lvlJc w:val="left"/>
      <w:pPr>
        <w:ind w:left="540" w:hanging="360"/>
      </w:pPr>
    </w:lvl>
  </w:abstractNum>
  <w:abstractNum w:abstractNumId="7" w15:restartNumberingAfterBreak="0">
    <w:multiLevelType w:val="hybridMultilevel"/>
    <w:lvl w:ilvl="0" w:tentative="1">
      <w:start w:val="1"/>
      <w:numFmt w:val="decimal"/>
      <w:lvlText w:val="%1."/>
      <w:lvlJc w:val="left"/>
      <w:pPr>
        <w:ind w:left="540" w:hanging="360"/>
      </w:pPr>
    </w:lvl>
  </w:abstractNum>
  <w:abstractNum w:abstractNumId="8" w15:restartNumberingAfterBreak="0">
    <w:multiLevelType w:val="hybridMultilevel"/>
    <w:lvl w:ilvl="0" w:tentative="1">
      <w:start w:val="1"/>
      <w:numFmt w:val="decimal"/>
      <w:lvlText w:val="%1."/>
      <w:lvlJc w:val="left"/>
      <w:pPr>
        <w:ind w:left="540" w:hanging="360"/>
      </w:pPr>
    </w:lvl>
  </w:abstractNum>
  <w:abstractNum w:abstractNumId="9" w15:restartNumberingAfterBreak="0">
    <w:multiLevelType w:val="hybridMultilevel"/>
    <w:lvl w:ilvl="0" w:tentative="1">
      <w:start w:val="1"/>
      <w:numFmt w:val="decimal"/>
      <w:lvlText w:val="%1."/>
      <w:lvlJc w:val="left"/>
      <w:pPr>
        <w:ind w:left="540" w:hanging="360"/>
      </w:pPr>
    </w:lvl>
  </w:abstractNum>
  <w:abstractNum w:abstractNumId="10" w15:restartNumberingAfterBreak="0">
    <w:multiLevelType w:val="hybridMultilevel"/>
    <w:lvl w:ilvl="0" w:tentative="1">
      <w:start w:val="1"/>
      <w:numFmt w:val="decimal"/>
      <w:lvlText w:val="%1."/>
      <w:lvlJc w:val="left"/>
      <w:pPr>
        <w:ind w:left="540" w:hanging="360"/>
      </w:pPr>
    </w:lvl>
  </w:abstractNum>
  <w:abstractNum w:abstractNumId="11" w15:restartNumberingAfterBreak="0">
    <w:multiLevelType w:val="hybridMultilevel"/>
    <w:lvl w:ilvl="0" w:tentative="1">
      <w:start w:val="1"/>
      <w:numFmt w:val="decimal"/>
      <w:lvlText w:val="%1."/>
      <w:lvlJc w:val="left"/>
      <w:pPr>
        <w:ind w:left="540" w:hanging="360"/>
      </w:pPr>
    </w:lvl>
  </w:abstractNum>
  <w:abstractNum w:abstractNumId="12" w15:restartNumberingAfterBreak="0">
    <w:multiLevelType w:val="hybridMultilevel"/>
    <w:lvl w:ilvl="0" w: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 w:numId="12">
    <w:abstractNumId w:val="1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Title">
    <w:name w:val="Title"/>
    <w:basedOn w:val="Normal"/>
    <w:next w:val="Normal"/>
    <w:pPr>
      <w:keepNext/>
      <w:spacing w:after="240" w:before="0"/>
    </w:pPr>
    <w:rPr>
      <w:rFonts w:ascii="Arial" w:cs="Arial" w:eastAsia="Arial" w:hAnsi="Arial"/>
      <w:b/>
      <w:bCs/>
      <w:color w:val="1F3864"/>
      <w:sz w:val="44"/>
      <w:szCs w:val="44"/>
    </w:rPr>
  </w:style>
  <w:style w:type="paragraph" w:styleId="Heading1">
    <w:name w:val="Heading 1"/>
    <w:basedOn w:val="Normal"/>
    <w:next w:val="Normal"/>
    <w:qFormat/>
    <w:pPr>
      <w:keepNext/>
      <w:spacing w:after="160" w:before="360"/>
      <w:outlineLvl w:val="0"/>
    </w:pPr>
    <w:rPr>
      <w:rFonts w:ascii="Arial" w:cs="Arial" w:eastAsia="Arial" w:hAnsi="Arial"/>
      <w:b/>
      <w:bCs/>
      <w:color w:val="1F3864"/>
      <w:sz w:val="32"/>
      <w:szCs w:val="32"/>
    </w:rPr>
  </w:style>
  <w:style w:type="paragraph" w:styleId="Heading2">
    <w:name w:val="Heading 2"/>
    <w:basedOn w:val="Normal"/>
    <w:next w:val="Normal"/>
    <w:qFormat/>
    <w:pPr>
      <w:keepNext/>
      <w:spacing w:after="120" w:before="280"/>
      <w:outlineLvl w:val="1"/>
    </w:pPr>
    <w:rPr>
      <w:rFonts w:ascii="Arial" w:cs="Arial" w:eastAsia="Arial" w:hAnsi="Arial"/>
      <w:b/>
      <w:bCs/>
      <w:color w:val="1F3864"/>
      <w:sz w:val="26"/>
      <w:szCs w:val="26"/>
    </w:rPr>
  </w:style>
  <w:style w:type="paragraph" w:styleId="Heading3">
    <w:name w:val="Heading 3"/>
    <w:basedOn w:val="Normal"/>
    <w:next w:val="Normal"/>
    <w:qFormat/>
    <w:pPr>
      <w:keepNext/>
      <w:spacing w:after="100" w:before="200"/>
      <w:outlineLvl w:val="2"/>
    </w:pPr>
    <w:rPr>
      <w:rFonts w:ascii="Arial" w:cs="Arial" w:eastAsia="Arial" w:hAnsi="Arial"/>
      <w:b/>
      <w:bCs/>
      <w:color w:val="2F5496"/>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קונה לחוזה קבלן: הסעיפים שכדאי לדרוש</dc:title>
  <dc:creator>partouche-law.com</dc:creator>
  <cp:lastModifiedBy>Un-named</cp:lastModifiedBy>
  <cp:revision>1</cp:revision>
  <dcterms:created xsi:type="dcterms:W3CDTF">2026-11-04T11:45:42.158Z</dcterms:created>
  <dcterms:modified xsi:type="dcterms:W3CDTF">2026-11-04T11:45:42.158Z</dcterms:modified>
</cp:coreProperties>
</file>

<file path=docProps/custom.xml><?xml version="1.0" encoding="utf-8"?>
<Properties xmlns="http://schemas.openxmlformats.org/officeDocument/2006/custom-properties" xmlns:vt="http://schemas.openxmlformats.org/officeDocument/2006/docPropsVTypes"/>
</file>